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3322" w14:textId="0B0CAE84" w:rsidR="00A41B52" w:rsidRDefault="00950C5E">
      <w:pPr>
        <w:spacing w:before="120" w:line="276" w:lineRule="auto"/>
        <w:jc w:val="center"/>
        <w:rPr>
          <w:rFonts w:ascii="Calibri" w:hAnsi="Calibri" w:cs="Arial"/>
          <w:lang w:val="el-GR"/>
        </w:rPr>
      </w:pPr>
      <w:r w:rsidRPr="00950C5E">
        <w:rPr>
          <w:rFonts w:ascii="Calibri" w:hAnsi="Calibri" w:cs="Arial"/>
          <w:b/>
          <w:lang w:val="el-GR"/>
        </w:rPr>
        <w:t>SYLLABUS</w:t>
      </w:r>
    </w:p>
    <w:p w14:paraId="6EF17FB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950C5E" w:rsidRPr="00FA0277" w14:paraId="75E80311" w14:textId="77777777" w:rsidTr="009B7F11">
        <w:tc>
          <w:tcPr>
            <w:tcW w:w="2690" w:type="dxa"/>
            <w:shd w:val="clear" w:color="auto" w:fill="DDD9C3"/>
          </w:tcPr>
          <w:p w14:paraId="41BD333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SCHOOL</w:t>
            </w:r>
          </w:p>
        </w:tc>
        <w:tc>
          <w:tcPr>
            <w:tcW w:w="6086" w:type="dxa"/>
            <w:gridSpan w:val="5"/>
          </w:tcPr>
          <w:p w14:paraId="1262DDEA" w14:textId="0DB73651" w:rsidR="00950C5E" w:rsidRPr="00950C5E" w:rsidRDefault="00950C5E" w:rsidP="00950C5E">
            <w:pPr>
              <w:rPr>
                <w:rFonts w:ascii="Calibri" w:hAnsi="Calibri" w:cs="Arial"/>
                <w:color w:val="002060"/>
              </w:rPr>
            </w:pPr>
            <w:bookmarkStart w:id="0" w:name="_GoBack"/>
            <w:bookmarkEnd w:id="0"/>
            <w:r>
              <w:rPr>
                <w:rFonts w:asciiTheme="minorHAnsi" w:hAnsiTheme="minorHAnsi" w:cstheme="minorHAnsi"/>
                <w:color w:val="002060"/>
                <w:sz w:val="22"/>
                <w:szCs w:val="22"/>
                <w:shd w:val="clear" w:color="auto" w:fill="FFFFFF"/>
                <w:lang w:val="en-GB"/>
              </w:rPr>
              <w:t>Applied Economic and Social Sciences</w:t>
            </w:r>
          </w:p>
        </w:tc>
      </w:tr>
      <w:tr w:rsidR="00950C5E" w:rsidRPr="00FA0277" w14:paraId="1105B2B6" w14:textId="77777777" w:rsidTr="009B7F11">
        <w:tc>
          <w:tcPr>
            <w:tcW w:w="2690" w:type="dxa"/>
            <w:shd w:val="clear" w:color="auto" w:fill="DDD9C3"/>
          </w:tcPr>
          <w:p w14:paraId="60CA91B1"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SECTION</w:t>
            </w:r>
          </w:p>
        </w:tc>
        <w:tc>
          <w:tcPr>
            <w:tcW w:w="6086" w:type="dxa"/>
            <w:gridSpan w:val="5"/>
          </w:tcPr>
          <w:p w14:paraId="56443081" w14:textId="48FA9931" w:rsidR="00950C5E" w:rsidRPr="00950C5E" w:rsidRDefault="00950C5E" w:rsidP="00950C5E">
            <w:pPr>
              <w:rPr>
                <w:rFonts w:ascii="Calibri" w:hAnsi="Calibri" w:cs="Arial"/>
                <w:color w:val="002060"/>
              </w:rPr>
            </w:pPr>
            <w:r>
              <w:rPr>
                <w:rFonts w:asciiTheme="minorHAnsi" w:hAnsiTheme="minorHAnsi" w:cstheme="minorHAnsi"/>
                <w:color w:val="002060"/>
                <w:sz w:val="22"/>
                <w:szCs w:val="22"/>
                <w:lang w:val="en-GB"/>
              </w:rPr>
              <w:t>Regional and Economic Development</w:t>
            </w:r>
          </w:p>
        </w:tc>
      </w:tr>
      <w:tr w:rsidR="00950C5E" w:rsidRPr="00705AAD" w14:paraId="3E399B41" w14:textId="77777777" w:rsidTr="009B7F11">
        <w:tc>
          <w:tcPr>
            <w:tcW w:w="2690" w:type="dxa"/>
            <w:shd w:val="clear" w:color="auto" w:fill="DDD9C3"/>
          </w:tcPr>
          <w:p w14:paraId="22A5AE8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 xml:space="preserve">LEVEL OF STUDIES </w:t>
            </w:r>
          </w:p>
        </w:tc>
        <w:tc>
          <w:tcPr>
            <w:tcW w:w="6086" w:type="dxa"/>
            <w:gridSpan w:val="5"/>
          </w:tcPr>
          <w:p w14:paraId="49257D02" w14:textId="657E6A0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Undergraduate</w:t>
            </w:r>
          </w:p>
        </w:tc>
      </w:tr>
      <w:tr w:rsidR="00A11609" w:rsidRPr="00705AAD" w14:paraId="41F31FA6" w14:textId="77777777" w:rsidTr="009B7F11">
        <w:tc>
          <w:tcPr>
            <w:tcW w:w="2690" w:type="dxa"/>
            <w:shd w:val="clear" w:color="auto" w:fill="DDD9C3"/>
          </w:tcPr>
          <w:p w14:paraId="4305EB2C"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COURSE CODE</w:t>
            </w:r>
          </w:p>
        </w:tc>
        <w:tc>
          <w:tcPr>
            <w:tcW w:w="1246" w:type="dxa"/>
          </w:tcPr>
          <w:p w14:paraId="551BD9AA" w14:textId="334B6243" w:rsidR="00A41B52" w:rsidRDefault="00950C5E" w:rsidP="00090C58">
            <w:pPr>
              <w:rPr>
                <w:rFonts w:ascii="Calibri" w:hAnsi="Calibri" w:cs="Arial"/>
                <w:color w:val="002060"/>
                <w:sz w:val="16"/>
                <w:szCs w:val="16"/>
              </w:rPr>
            </w:pPr>
            <w:r>
              <w:rPr>
                <w:rFonts w:ascii="Calibri" w:hAnsi="Calibri" w:cs="Arial"/>
                <w:color w:val="002060"/>
                <w:sz w:val="22"/>
                <w:szCs w:val="22"/>
              </w:rPr>
              <w:t>6</w:t>
            </w:r>
            <w:r w:rsidR="00090C58">
              <w:rPr>
                <w:rFonts w:ascii="Calibri" w:hAnsi="Calibri" w:cs="Arial"/>
                <w:color w:val="002060"/>
                <w:sz w:val="22"/>
                <w:szCs w:val="22"/>
              </w:rPr>
              <w:t>802</w:t>
            </w:r>
          </w:p>
        </w:tc>
        <w:tc>
          <w:tcPr>
            <w:tcW w:w="2277" w:type="dxa"/>
            <w:gridSpan w:val="2"/>
            <w:shd w:val="clear" w:color="auto" w:fill="DDD9C3"/>
          </w:tcPr>
          <w:p w14:paraId="287A3111"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SEMESTER OF STUDY</w:t>
            </w:r>
          </w:p>
        </w:tc>
        <w:tc>
          <w:tcPr>
            <w:tcW w:w="2563" w:type="dxa"/>
            <w:gridSpan w:val="2"/>
          </w:tcPr>
          <w:p w14:paraId="72B918A3" w14:textId="2A24DCF3" w:rsidR="00A41B52" w:rsidRDefault="00090C58">
            <w:pPr>
              <w:rPr>
                <w:rFonts w:ascii="Calibri" w:hAnsi="Calibri" w:cs="Arial"/>
                <w:color w:val="002060"/>
                <w:sz w:val="22"/>
                <w:szCs w:val="22"/>
                <w:lang w:val="el-GR"/>
              </w:rPr>
            </w:pPr>
            <w:r>
              <w:rPr>
                <w:rFonts w:ascii="Calibri" w:hAnsi="Calibri" w:cs="Arial"/>
                <w:color w:val="002060"/>
                <w:sz w:val="22"/>
                <w:szCs w:val="22"/>
              </w:rPr>
              <w:t>8</w:t>
            </w:r>
            <w:r w:rsidR="00B14B74" w:rsidRPr="003A7E48">
              <w:rPr>
                <w:rFonts w:ascii="Calibri" w:hAnsi="Calibri" w:cs="Arial"/>
                <w:color w:val="002060"/>
                <w:sz w:val="22"/>
                <w:szCs w:val="22"/>
                <w:vertAlign w:val="superscript"/>
                <w:lang w:val="el-GR"/>
              </w:rPr>
              <w:t>ο</w:t>
            </w:r>
          </w:p>
        </w:tc>
      </w:tr>
      <w:tr w:rsidR="00B14B74" w:rsidRPr="00705AAD" w14:paraId="4EF242DC" w14:textId="77777777" w:rsidTr="009B7F11">
        <w:trPr>
          <w:trHeight w:val="375"/>
        </w:trPr>
        <w:tc>
          <w:tcPr>
            <w:tcW w:w="2690" w:type="dxa"/>
            <w:shd w:val="clear" w:color="auto" w:fill="DDD9C3"/>
            <w:vAlign w:val="center"/>
          </w:tcPr>
          <w:p w14:paraId="2711F5A7" w14:textId="77777777" w:rsidR="00A41B52" w:rsidRDefault="0032220C">
            <w:pPr>
              <w:jc w:val="right"/>
              <w:rPr>
                <w:rFonts w:ascii="Calibri" w:hAnsi="Calibri" w:cs="Arial"/>
                <w:b/>
                <w:sz w:val="20"/>
                <w:szCs w:val="20"/>
                <w:lang w:val="el-GR"/>
              </w:rPr>
            </w:pPr>
            <w:r w:rsidRPr="00705AAD">
              <w:rPr>
                <w:rFonts w:ascii="Calibri" w:hAnsi="Calibri" w:cs="Arial"/>
                <w:b/>
                <w:sz w:val="20"/>
                <w:szCs w:val="20"/>
                <w:lang w:val="el-GR"/>
              </w:rPr>
              <w:t>COURSE TITLE</w:t>
            </w:r>
          </w:p>
        </w:tc>
        <w:tc>
          <w:tcPr>
            <w:tcW w:w="6086" w:type="dxa"/>
            <w:gridSpan w:val="5"/>
            <w:vAlign w:val="center"/>
          </w:tcPr>
          <w:p w14:paraId="7709D30B" w14:textId="145171C6" w:rsidR="00A41B52" w:rsidRDefault="00670D50">
            <w:pPr>
              <w:rPr>
                <w:rFonts w:ascii="Calibri" w:hAnsi="Calibri" w:cs="Arial"/>
                <w:color w:val="002060"/>
                <w:sz w:val="22"/>
                <w:szCs w:val="22"/>
                <w:lang w:val="el-GR"/>
              </w:rPr>
            </w:pPr>
            <w:r w:rsidRPr="00670D50">
              <w:rPr>
                <w:rFonts w:ascii="Calibri" w:hAnsi="Calibri" w:cs="Arial"/>
                <w:color w:val="002060"/>
                <w:sz w:val="22"/>
                <w:szCs w:val="22"/>
                <w:lang w:val="el-GR"/>
              </w:rPr>
              <w:t>Real Estate Market Economics</w:t>
            </w:r>
          </w:p>
        </w:tc>
      </w:tr>
      <w:tr w:rsidR="00950C5E" w:rsidRPr="00705AAD" w14:paraId="5964C381" w14:textId="77777777" w:rsidTr="009B7F11">
        <w:trPr>
          <w:trHeight w:val="375"/>
        </w:trPr>
        <w:tc>
          <w:tcPr>
            <w:tcW w:w="2690" w:type="dxa"/>
            <w:shd w:val="clear" w:color="auto" w:fill="DDD9C3"/>
            <w:vAlign w:val="center"/>
          </w:tcPr>
          <w:p w14:paraId="3EFBC11F" w14:textId="77777777" w:rsidR="00950C5E" w:rsidRDefault="00950C5E" w:rsidP="00950C5E">
            <w:pPr>
              <w:jc w:val="right"/>
              <w:rPr>
                <w:rFonts w:ascii="Calibri" w:hAnsi="Calibri" w:cs="Arial"/>
                <w:b/>
                <w:sz w:val="20"/>
                <w:szCs w:val="20"/>
                <w:lang w:val="el-GR"/>
              </w:rPr>
            </w:pPr>
            <w:r>
              <w:rPr>
                <w:rFonts w:asciiTheme="minorHAnsi" w:hAnsiTheme="minorHAnsi" w:cstheme="minorHAnsi"/>
                <w:b/>
                <w:sz w:val="22"/>
                <w:szCs w:val="22"/>
                <w:lang w:val="el-GR"/>
              </w:rPr>
              <w:t>TEACHER</w:t>
            </w:r>
          </w:p>
        </w:tc>
        <w:tc>
          <w:tcPr>
            <w:tcW w:w="6086" w:type="dxa"/>
            <w:gridSpan w:val="5"/>
            <w:vAlign w:val="center"/>
          </w:tcPr>
          <w:p w14:paraId="5B2C9BE0" w14:textId="4636542B" w:rsidR="00950C5E" w:rsidRPr="008B1E7A" w:rsidRDefault="008B1E7A" w:rsidP="00950C5E">
            <w:pPr>
              <w:rPr>
                <w:rFonts w:ascii="Calibri" w:hAnsi="Calibri" w:cs="Arial"/>
                <w:color w:val="002060"/>
                <w:sz w:val="22"/>
                <w:szCs w:val="22"/>
              </w:rPr>
            </w:pPr>
            <w:r>
              <w:rPr>
                <w:rFonts w:ascii="Calibri" w:hAnsi="Calibri" w:cs="Arial"/>
                <w:color w:val="002060"/>
                <w:sz w:val="22"/>
                <w:szCs w:val="22"/>
              </w:rPr>
              <w:t>AGGELIKI MENEGAKI</w:t>
            </w:r>
          </w:p>
        </w:tc>
      </w:tr>
      <w:tr w:rsidR="00950C5E" w:rsidRPr="00705AAD" w14:paraId="38EC89D3" w14:textId="77777777" w:rsidTr="009B7F11">
        <w:trPr>
          <w:trHeight w:val="196"/>
        </w:trPr>
        <w:tc>
          <w:tcPr>
            <w:tcW w:w="5005" w:type="dxa"/>
            <w:gridSpan w:val="3"/>
            <w:shd w:val="clear" w:color="auto" w:fill="DDD9C3"/>
            <w:vAlign w:val="center"/>
          </w:tcPr>
          <w:p w14:paraId="79DB94A6" w14:textId="77777777" w:rsidR="008B1E7A" w:rsidRDefault="00950C5E" w:rsidP="00950C5E">
            <w:pPr>
              <w:jc w:val="center"/>
              <w:rPr>
                <w:rFonts w:ascii="Calibri" w:hAnsi="Calibri" w:cs="Arial"/>
                <w:i/>
                <w:sz w:val="18"/>
                <w:szCs w:val="18"/>
              </w:rPr>
            </w:pPr>
            <w:r w:rsidRPr="00950C5E">
              <w:rPr>
                <w:rFonts w:ascii="Calibri" w:hAnsi="Calibri" w:cs="Arial"/>
                <w:b/>
                <w:sz w:val="20"/>
                <w:szCs w:val="20"/>
              </w:rPr>
              <w:t xml:space="preserve">INDEPENDENT TEACHING ACTIVITIES </w:t>
            </w:r>
            <w:r w:rsidRPr="00950C5E">
              <w:rPr>
                <w:rFonts w:ascii="Calibri" w:hAnsi="Calibri" w:cs="Arial"/>
                <w:b/>
                <w:sz w:val="20"/>
                <w:szCs w:val="20"/>
              </w:rPr>
              <w:br/>
            </w:r>
            <w:r w:rsidRPr="00950C5E">
              <w:rPr>
                <w:rFonts w:ascii="Calibri" w:hAnsi="Calibri" w:cs="Arial"/>
                <w:i/>
                <w:sz w:val="18"/>
                <w:szCs w:val="18"/>
              </w:rPr>
              <w:t xml:space="preserve">where credit is awarded for discrete parts of the course e.g. lectures, laboratory exercises, etc. If credit is </w:t>
            </w:r>
          </w:p>
          <w:p w14:paraId="79089945" w14:textId="57E7FCD6" w:rsidR="00950C5E" w:rsidRPr="00950C5E" w:rsidRDefault="00950C5E" w:rsidP="00950C5E">
            <w:pPr>
              <w:jc w:val="center"/>
              <w:rPr>
                <w:rFonts w:ascii="Calibri" w:hAnsi="Calibri" w:cs="Arial"/>
                <w:b/>
                <w:sz w:val="20"/>
                <w:szCs w:val="20"/>
              </w:rPr>
            </w:pPr>
            <w:r w:rsidRPr="00950C5E">
              <w:rPr>
                <w:rFonts w:ascii="Calibri" w:hAnsi="Calibri" w:cs="Arial"/>
                <w:i/>
                <w:sz w:val="18"/>
                <w:szCs w:val="18"/>
              </w:rPr>
              <w:t>awarded for the whole course, indicate the weekly teaching hours and the total number of credits</w:t>
            </w:r>
          </w:p>
        </w:tc>
        <w:tc>
          <w:tcPr>
            <w:tcW w:w="1539" w:type="dxa"/>
            <w:gridSpan w:val="2"/>
            <w:shd w:val="clear" w:color="auto" w:fill="DDD9C3"/>
            <w:vAlign w:val="center"/>
          </w:tcPr>
          <w:p w14:paraId="59ECE839" w14:textId="77777777" w:rsidR="00950C5E" w:rsidRDefault="00950C5E" w:rsidP="00950C5E">
            <w:pPr>
              <w:jc w:val="center"/>
              <w:rPr>
                <w:rFonts w:ascii="Calibri" w:hAnsi="Calibri" w:cs="Arial"/>
                <w:b/>
                <w:sz w:val="20"/>
                <w:szCs w:val="20"/>
                <w:lang w:val="el-GR"/>
              </w:rPr>
            </w:pPr>
            <w:r w:rsidRPr="00705AAD">
              <w:rPr>
                <w:rFonts w:ascii="Calibri" w:hAnsi="Calibri" w:cs="Arial"/>
                <w:b/>
                <w:sz w:val="20"/>
                <w:szCs w:val="20"/>
                <w:lang w:val="el-GR"/>
              </w:rPr>
              <w:t>WEEKLY TEACHING</w:t>
            </w:r>
            <w:r w:rsidRPr="00705AAD">
              <w:rPr>
                <w:rFonts w:ascii="Calibri" w:hAnsi="Calibri" w:cs="Arial"/>
                <w:b/>
                <w:sz w:val="20"/>
                <w:szCs w:val="20"/>
                <w:lang w:val="el-GR"/>
              </w:rPr>
              <w:br/>
              <w:t xml:space="preserve"> HOURS</w:t>
            </w:r>
          </w:p>
        </w:tc>
        <w:tc>
          <w:tcPr>
            <w:tcW w:w="2232" w:type="dxa"/>
            <w:shd w:val="clear" w:color="auto" w:fill="DDD9C3"/>
            <w:vAlign w:val="center"/>
          </w:tcPr>
          <w:p w14:paraId="7095ABCB" w14:textId="77777777" w:rsidR="00950C5E" w:rsidRDefault="00950C5E" w:rsidP="00950C5E">
            <w:pPr>
              <w:jc w:val="center"/>
              <w:rPr>
                <w:rFonts w:ascii="Calibri" w:hAnsi="Calibri" w:cs="Arial"/>
                <w:b/>
                <w:sz w:val="20"/>
                <w:szCs w:val="20"/>
                <w:lang w:val="el-GR"/>
              </w:rPr>
            </w:pPr>
            <w:r>
              <w:rPr>
                <w:rFonts w:ascii="Calibri" w:hAnsi="Calibri" w:cs="Arial"/>
                <w:b/>
                <w:sz w:val="20"/>
                <w:szCs w:val="20"/>
                <w:lang w:val="el-GR"/>
              </w:rPr>
              <w:t xml:space="preserve">TEACHING/CREDIT </w:t>
            </w:r>
            <w:r w:rsidRPr="00705AAD">
              <w:rPr>
                <w:rFonts w:ascii="Calibri" w:hAnsi="Calibri" w:cs="Arial"/>
                <w:b/>
                <w:sz w:val="20"/>
                <w:szCs w:val="20"/>
                <w:lang w:val="el-GR"/>
              </w:rPr>
              <w:t>UNITS</w:t>
            </w:r>
          </w:p>
        </w:tc>
      </w:tr>
      <w:tr w:rsidR="00950C5E" w:rsidRPr="00705AAD" w14:paraId="01CCE58E" w14:textId="77777777" w:rsidTr="009B7F11">
        <w:trPr>
          <w:trHeight w:val="194"/>
        </w:trPr>
        <w:tc>
          <w:tcPr>
            <w:tcW w:w="5005" w:type="dxa"/>
            <w:gridSpan w:val="3"/>
          </w:tcPr>
          <w:p w14:paraId="65703FE3" w14:textId="77777777" w:rsidR="00950C5E" w:rsidRDefault="00950C5E" w:rsidP="00950C5E">
            <w:pPr>
              <w:jc w:val="right"/>
              <w:rPr>
                <w:rFonts w:ascii="Calibri" w:hAnsi="Calibri" w:cs="Arial"/>
                <w:color w:val="002060"/>
                <w:sz w:val="22"/>
                <w:szCs w:val="22"/>
                <w:lang w:val="el-GR"/>
              </w:rPr>
            </w:pPr>
            <w:r w:rsidRPr="00A628DE">
              <w:rPr>
                <w:rFonts w:ascii="Calibri" w:hAnsi="Calibri" w:cs="Arial"/>
                <w:color w:val="002060"/>
                <w:sz w:val="22"/>
                <w:szCs w:val="22"/>
                <w:lang w:val="el-GR"/>
              </w:rPr>
              <w:t>Lectures</w:t>
            </w:r>
          </w:p>
        </w:tc>
        <w:tc>
          <w:tcPr>
            <w:tcW w:w="1539" w:type="dxa"/>
            <w:gridSpan w:val="2"/>
          </w:tcPr>
          <w:p w14:paraId="1E4FD84F"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82A174D"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5</w:t>
            </w:r>
          </w:p>
        </w:tc>
      </w:tr>
      <w:tr w:rsidR="00950C5E" w:rsidRPr="00705AAD" w14:paraId="21873095" w14:textId="77777777" w:rsidTr="009B7F11">
        <w:trPr>
          <w:trHeight w:val="194"/>
        </w:trPr>
        <w:tc>
          <w:tcPr>
            <w:tcW w:w="5005" w:type="dxa"/>
            <w:gridSpan w:val="3"/>
          </w:tcPr>
          <w:p w14:paraId="2C8F2060" w14:textId="77777777" w:rsidR="00950C5E" w:rsidRPr="00705AAD" w:rsidRDefault="00950C5E" w:rsidP="00950C5E">
            <w:pPr>
              <w:jc w:val="right"/>
              <w:rPr>
                <w:rFonts w:ascii="Calibri" w:hAnsi="Calibri" w:cs="Arial"/>
                <w:b/>
                <w:color w:val="002060"/>
                <w:sz w:val="20"/>
                <w:szCs w:val="20"/>
                <w:lang w:val="el-GR"/>
              </w:rPr>
            </w:pPr>
          </w:p>
        </w:tc>
        <w:tc>
          <w:tcPr>
            <w:tcW w:w="1539" w:type="dxa"/>
            <w:gridSpan w:val="2"/>
          </w:tcPr>
          <w:p w14:paraId="09D9C7AA"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02CD8580" w14:textId="77777777" w:rsidR="00950C5E" w:rsidRPr="00705AAD" w:rsidRDefault="00950C5E" w:rsidP="00950C5E">
            <w:pPr>
              <w:rPr>
                <w:rFonts w:ascii="Calibri" w:hAnsi="Calibri" w:cs="Arial"/>
                <w:color w:val="002060"/>
                <w:sz w:val="20"/>
                <w:szCs w:val="20"/>
                <w:lang w:val="el-GR"/>
              </w:rPr>
            </w:pPr>
          </w:p>
        </w:tc>
      </w:tr>
      <w:tr w:rsidR="00950C5E" w:rsidRPr="00705AAD" w14:paraId="1BCD936D" w14:textId="77777777" w:rsidTr="009B7F11">
        <w:trPr>
          <w:trHeight w:val="194"/>
        </w:trPr>
        <w:tc>
          <w:tcPr>
            <w:tcW w:w="5005" w:type="dxa"/>
            <w:gridSpan w:val="3"/>
          </w:tcPr>
          <w:p w14:paraId="5A5F76A2" w14:textId="77777777" w:rsidR="00950C5E" w:rsidRPr="00705AAD" w:rsidRDefault="00950C5E" w:rsidP="00950C5E">
            <w:pPr>
              <w:rPr>
                <w:rFonts w:ascii="Calibri" w:hAnsi="Calibri" w:cs="Arial"/>
                <w:b/>
                <w:color w:val="002060"/>
                <w:sz w:val="20"/>
                <w:szCs w:val="20"/>
                <w:lang w:val="el-GR"/>
              </w:rPr>
            </w:pPr>
          </w:p>
        </w:tc>
        <w:tc>
          <w:tcPr>
            <w:tcW w:w="1539" w:type="dxa"/>
            <w:gridSpan w:val="2"/>
          </w:tcPr>
          <w:p w14:paraId="1B56FFAB"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739AFC4A" w14:textId="77777777" w:rsidR="00950C5E" w:rsidRPr="00705AAD" w:rsidRDefault="00950C5E" w:rsidP="00950C5E">
            <w:pPr>
              <w:rPr>
                <w:rFonts w:ascii="Calibri" w:hAnsi="Calibri" w:cs="Arial"/>
                <w:color w:val="002060"/>
                <w:sz w:val="20"/>
                <w:szCs w:val="20"/>
                <w:lang w:val="el-GR"/>
              </w:rPr>
            </w:pPr>
          </w:p>
        </w:tc>
      </w:tr>
      <w:tr w:rsidR="00950C5E" w:rsidRPr="00FA0277" w14:paraId="2ADD19F2" w14:textId="77777777" w:rsidTr="009B7F11">
        <w:trPr>
          <w:trHeight w:val="194"/>
        </w:trPr>
        <w:tc>
          <w:tcPr>
            <w:tcW w:w="5005" w:type="dxa"/>
            <w:gridSpan w:val="3"/>
            <w:shd w:val="clear" w:color="auto" w:fill="DDD9C3"/>
          </w:tcPr>
          <w:p w14:paraId="389D8FD8" w14:textId="77777777" w:rsidR="00950C5E" w:rsidRPr="00950C5E" w:rsidRDefault="00950C5E" w:rsidP="00950C5E">
            <w:pPr>
              <w:rPr>
                <w:rFonts w:ascii="Calibri" w:hAnsi="Calibri" w:cs="Arial"/>
                <w:i/>
                <w:sz w:val="18"/>
                <w:szCs w:val="18"/>
              </w:rPr>
            </w:pPr>
            <w:r w:rsidRPr="00950C5E">
              <w:rPr>
                <w:rFonts w:ascii="Calibri" w:hAnsi="Calibri" w:cs="Arial"/>
                <w:i/>
                <w:sz w:val="18"/>
                <w:szCs w:val="18"/>
              </w:rPr>
              <w:t>Add rows if necessary. The teaching organisation and the teaching methods used are described in detail in 4.</w:t>
            </w:r>
          </w:p>
        </w:tc>
        <w:tc>
          <w:tcPr>
            <w:tcW w:w="1539" w:type="dxa"/>
            <w:gridSpan w:val="2"/>
          </w:tcPr>
          <w:p w14:paraId="0FA423BE" w14:textId="77777777" w:rsidR="00950C5E" w:rsidRPr="00950C5E" w:rsidRDefault="00950C5E" w:rsidP="00950C5E">
            <w:pPr>
              <w:jc w:val="right"/>
              <w:rPr>
                <w:rFonts w:ascii="Calibri" w:hAnsi="Calibri" w:cs="Arial"/>
                <w:color w:val="002060"/>
                <w:sz w:val="20"/>
                <w:szCs w:val="20"/>
              </w:rPr>
            </w:pPr>
          </w:p>
        </w:tc>
        <w:tc>
          <w:tcPr>
            <w:tcW w:w="2232" w:type="dxa"/>
          </w:tcPr>
          <w:p w14:paraId="26FBF46F" w14:textId="77777777" w:rsidR="00950C5E" w:rsidRPr="00950C5E" w:rsidRDefault="00950C5E" w:rsidP="00950C5E">
            <w:pPr>
              <w:rPr>
                <w:rFonts w:ascii="Calibri" w:hAnsi="Calibri" w:cs="Arial"/>
                <w:color w:val="002060"/>
                <w:sz w:val="20"/>
                <w:szCs w:val="20"/>
              </w:rPr>
            </w:pPr>
          </w:p>
        </w:tc>
      </w:tr>
      <w:tr w:rsidR="00950C5E" w:rsidRPr="00FA0277" w14:paraId="7AEC6319" w14:textId="77777777" w:rsidTr="009B7F11">
        <w:trPr>
          <w:trHeight w:val="599"/>
        </w:trPr>
        <w:tc>
          <w:tcPr>
            <w:tcW w:w="2690" w:type="dxa"/>
            <w:shd w:val="clear" w:color="auto" w:fill="DDD9C3"/>
          </w:tcPr>
          <w:p w14:paraId="7F3927A9" w14:textId="77777777" w:rsidR="00950C5E" w:rsidRPr="00950C5E" w:rsidRDefault="00950C5E" w:rsidP="00950C5E">
            <w:pPr>
              <w:jc w:val="right"/>
              <w:rPr>
                <w:rFonts w:ascii="Calibri" w:hAnsi="Calibri" w:cs="Arial"/>
                <w:i/>
                <w:sz w:val="16"/>
                <w:szCs w:val="16"/>
              </w:rPr>
            </w:pPr>
            <w:r w:rsidRPr="00950C5E">
              <w:rPr>
                <w:rFonts w:ascii="Calibri" w:hAnsi="Calibri" w:cs="Arial"/>
                <w:b/>
                <w:sz w:val="20"/>
                <w:szCs w:val="20"/>
              </w:rPr>
              <w:t>TYPE OF COURSE</w:t>
            </w:r>
          </w:p>
          <w:p w14:paraId="4EB37AED" w14:textId="77777777" w:rsidR="00950C5E" w:rsidRPr="00950C5E" w:rsidRDefault="00950C5E" w:rsidP="00950C5E">
            <w:pPr>
              <w:jc w:val="right"/>
              <w:rPr>
                <w:rFonts w:ascii="Calibri" w:hAnsi="Calibri" w:cs="Arial"/>
                <w:b/>
                <w:sz w:val="20"/>
                <w:szCs w:val="20"/>
              </w:rPr>
            </w:pPr>
            <w:r w:rsidRPr="00950C5E">
              <w:rPr>
                <w:rFonts w:ascii="Calibri" w:hAnsi="Calibri" w:cs="Arial"/>
                <w:i/>
                <w:sz w:val="16"/>
                <w:szCs w:val="16"/>
              </w:rPr>
              <w:t>Background , General Knowledge, Scientific Area, Skills Development</w:t>
            </w:r>
          </w:p>
        </w:tc>
        <w:tc>
          <w:tcPr>
            <w:tcW w:w="6086" w:type="dxa"/>
            <w:gridSpan w:val="5"/>
          </w:tcPr>
          <w:p w14:paraId="567FABBD" w14:textId="7E8DDBED" w:rsidR="00950C5E" w:rsidRPr="00950C5E" w:rsidRDefault="00FC5151" w:rsidP="00950C5E">
            <w:pPr>
              <w:rPr>
                <w:rFonts w:ascii="Calibri" w:hAnsi="Calibri" w:cs="Arial"/>
                <w:color w:val="002060"/>
              </w:rPr>
            </w:pPr>
            <w:r w:rsidRPr="00FC5151">
              <w:rPr>
                <w:rFonts w:ascii="Calibri" w:hAnsi="Calibri" w:cs="Arial"/>
                <w:color w:val="002060"/>
              </w:rPr>
              <w:t xml:space="preserve">Scientific Area </w:t>
            </w:r>
            <w:r w:rsidR="0032220C" w:rsidRPr="0032220C">
              <w:rPr>
                <w:rFonts w:ascii="Calibri" w:hAnsi="Calibri" w:cs="Arial"/>
                <w:color w:val="002060"/>
              </w:rPr>
              <w:t>Course</w:t>
            </w:r>
          </w:p>
        </w:tc>
      </w:tr>
      <w:tr w:rsidR="00950C5E" w:rsidRPr="00A11609" w14:paraId="53CDDD52" w14:textId="77777777" w:rsidTr="009B7F11">
        <w:tc>
          <w:tcPr>
            <w:tcW w:w="2690" w:type="dxa"/>
            <w:shd w:val="clear" w:color="auto" w:fill="DDD9C3"/>
          </w:tcPr>
          <w:p w14:paraId="59A2B66F"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PREREQUISITE COURSES:</w:t>
            </w:r>
          </w:p>
          <w:p w14:paraId="523DA002" w14:textId="77777777" w:rsidR="00950C5E" w:rsidRPr="00705AAD" w:rsidRDefault="00950C5E" w:rsidP="00950C5E">
            <w:pPr>
              <w:jc w:val="right"/>
              <w:rPr>
                <w:rFonts w:ascii="Calibri" w:hAnsi="Calibri" w:cs="Arial"/>
                <w:b/>
                <w:sz w:val="20"/>
                <w:szCs w:val="20"/>
                <w:lang w:val="el-GR"/>
              </w:rPr>
            </w:pPr>
          </w:p>
        </w:tc>
        <w:tc>
          <w:tcPr>
            <w:tcW w:w="6086" w:type="dxa"/>
            <w:gridSpan w:val="5"/>
          </w:tcPr>
          <w:p w14:paraId="213044D8" w14:textId="77777777" w:rsidR="00950C5E" w:rsidRPr="004E2C8A" w:rsidRDefault="00950C5E" w:rsidP="00950C5E">
            <w:pPr>
              <w:rPr>
                <w:rFonts w:ascii="Calibri" w:hAnsi="Calibri" w:cs="Arial"/>
                <w:color w:val="002060"/>
                <w:lang w:val="el-GR"/>
              </w:rPr>
            </w:pPr>
          </w:p>
        </w:tc>
      </w:tr>
      <w:tr w:rsidR="00950C5E" w:rsidRPr="00705AAD" w14:paraId="3F4EE897" w14:textId="77777777" w:rsidTr="009B7F11">
        <w:tc>
          <w:tcPr>
            <w:tcW w:w="2690" w:type="dxa"/>
            <w:shd w:val="clear" w:color="auto" w:fill="DDD9C3"/>
          </w:tcPr>
          <w:p w14:paraId="1BB07E3D" w14:textId="77777777" w:rsidR="00950C5E" w:rsidRDefault="00950C5E" w:rsidP="00950C5E">
            <w:pPr>
              <w:jc w:val="right"/>
              <w:rPr>
                <w:rFonts w:ascii="Calibri" w:hAnsi="Calibri" w:cs="Arial"/>
                <w:b/>
                <w:sz w:val="20"/>
                <w:szCs w:val="20"/>
              </w:rPr>
            </w:pPr>
            <w:r w:rsidRPr="00950C5E">
              <w:rPr>
                <w:rFonts w:ascii="Calibri" w:hAnsi="Calibri" w:cs="Arial"/>
                <w:b/>
                <w:sz w:val="20"/>
                <w:szCs w:val="20"/>
              </w:rPr>
              <w:t xml:space="preserve">LANGUAGE OF </w:t>
            </w:r>
            <w:r w:rsidRPr="00705AAD">
              <w:rPr>
                <w:rFonts w:ascii="Calibri" w:hAnsi="Calibri" w:cs="Arial"/>
                <w:b/>
                <w:sz w:val="20"/>
                <w:szCs w:val="20"/>
              </w:rPr>
              <w:t xml:space="preserve">TEACHING </w:t>
            </w:r>
            <w:r w:rsidRPr="00950C5E">
              <w:rPr>
                <w:rFonts w:ascii="Calibri" w:hAnsi="Calibri" w:cs="Arial"/>
                <w:b/>
                <w:sz w:val="20"/>
                <w:szCs w:val="20"/>
              </w:rPr>
              <w:t>AND EXAMINATION</w:t>
            </w:r>
            <w:r w:rsidRPr="00705AAD">
              <w:rPr>
                <w:rFonts w:ascii="Calibri" w:hAnsi="Calibri" w:cs="Arial"/>
                <w:b/>
                <w:sz w:val="20"/>
                <w:szCs w:val="20"/>
              </w:rPr>
              <w:t>:</w:t>
            </w:r>
          </w:p>
        </w:tc>
        <w:tc>
          <w:tcPr>
            <w:tcW w:w="6086" w:type="dxa"/>
            <w:gridSpan w:val="5"/>
          </w:tcPr>
          <w:p w14:paraId="5CE7AFC4" w14:textId="2706253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Greek</w:t>
            </w:r>
          </w:p>
        </w:tc>
      </w:tr>
      <w:tr w:rsidR="00950C5E" w:rsidRPr="00FA0277" w14:paraId="3BC42D12" w14:textId="77777777" w:rsidTr="009B7F11">
        <w:tc>
          <w:tcPr>
            <w:tcW w:w="2690" w:type="dxa"/>
            <w:shd w:val="clear" w:color="auto" w:fill="DDD9C3"/>
          </w:tcPr>
          <w:p w14:paraId="513DC265" w14:textId="77777777" w:rsidR="00950C5E" w:rsidRPr="00950C5E" w:rsidRDefault="00950C5E" w:rsidP="00950C5E">
            <w:pPr>
              <w:jc w:val="right"/>
              <w:rPr>
                <w:rFonts w:ascii="Calibri" w:hAnsi="Calibri" w:cs="Arial"/>
                <w:b/>
                <w:sz w:val="20"/>
                <w:szCs w:val="20"/>
              </w:rPr>
            </w:pPr>
            <w:r w:rsidRPr="00950C5E">
              <w:rPr>
                <w:rFonts w:ascii="Calibri" w:hAnsi="Calibri" w:cs="Arial"/>
                <w:b/>
                <w:sz w:val="20"/>
                <w:szCs w:val="20"/>
              </w:rPr>
              <w:t xml:space="preserve">THE COURSE IS OFFERED TO </w:t>
            </w:r>
            <w:r w:rsidRPr="00705AAD">
              <w:rPr>
                <w:rFonts w:ascii="Calibri" w:hAnsi="Calibri" w:cs="Arial"/>
                <w:b/>
                <w:sz w:val="20"/>
                <w:szCs w:val="20"/>
                <w:lang w:val="en-GB"/>
              </w:rPr>
              <w:t xml:space="preserve">ERASMUS </w:t>
            </w:r>
            <w:r w:rsidRPr="00950C5E">
              <w:rPr>
                <w:rFonts w:ascii="Calibri" w:hAnsi="Calibri" w:cs="Arial"/>
                <w:b/>
                <w:sz w:val="20"/>
                <w:szCs w:val="20"/>
              </w:rPr>
              <w:t>STUDENTS</w:t>
            </w:r>
          </w:p>
        </w:tc>
        <w:tc>
          <w:tcPr>
            <w:tcW w:w="6086" w:type="dxa"/>
            <w:gridSpan w:val="5"/>
          </w:tcPr>
          <w:p w14:paraId="495778DA" w14:textId="35DF55E3" w:rsidR="00950C5E" w:rsidRPr="00950C5E" w:rsidRDefault="00950C5E" w:rsidP="00950C5E">
            <w:pPr>
              <w:rPr>
                <w:rFonts w:ascii="Calibri" w:hAnsi="Calibri" w:cs="Arial"/>
                <w:color w:val="FF0000"/>
              </w:rPr>
            </w:pPr>
          </w:p>
        </w:tc>
      </w:tr>
      <w:tr w:rsidR="00950C5E" w:rsidRPr="00FA0277" w14:paraId="53E6E03E" w14:textId="77777777" w:rsidTr="009B7F11">
        <w:tc>
          <w:tcPr>
            <w:tcW w:w="2690" w:type="dxa"/>
            <w:shd w:val="clear" w:color="auto" w:fill="DDD9C3"/>
          </w:tcPr>
          <w:p w14:paraId="7001D843" w14:textId="77777777" w:rsidR="00950C5E" w:rsidRDefault="00950C5E" w:rsidP="00950C5E">
            <w:pPr>
              <w:jc w:val="right"/>
              <w:rPr>
                <w:rFonts w:ascii="Calibri" w:hAnsi="Calibri" w:cs="Arial"/>
                <w:b/>
                <w:sz w:val="20"/>
                <w:szCs w:val="20"/>
                <w:lang w:val="en-GB"/>
              </w:rPr>
            </w:pPr>
            <w:r w:rsidRPr="00705AAD">
              <w:rPr>
                <w:rFonts w:ascii="Calibri" w:hAnsi="Calibri" w:cs="Arial"/>
                <w:b/>
                <w:sz w:val="20"/>
                <w:szCs w:val="20"/>
                <w:lang w:val="el-GR"/>
              </w:rPr>
              <w:t>ELECTRONIC COURSE PAGE (</w:t>
            </w:r>
            <w:r w:rsidRPr="00705AAD">
              <w:rPr>
                <w:rFonts w:ascii="Calibri" w:hAnsi="Calibri" w:cs="Arial"/>
                <w:b/>
                <w:sz w:val="20"/>
                <w:szCs w:val="20"/>
                <w:lang w:val="en-GB"/>
              </w:rPr>
              <w:t>URL)</w:t>
            </w:r>
          </w:p>
        </w:tc>
        <w:tc>
          <w:tcPr>
            <w:tcW w:w="6086" w:type="dxa"/>
            <w:gridSpan w:val="5"/>
          </w:tcPr>
          <w:p w14:paraId="11D2828C" w14:textId="00C62C58" w:rsidR="00950C5E" w:rsidRPr="00950C5E" w:rsidRDefault="00950C5E" w:rsidP="00950C5E">
            <w:pPr>
              <w:spacing w:after="200" w:line="276" w:lineRule="auto"/>
              <w:rPr>
                <w:rFonts w:ascii="Calibri" w:hAnsi="Calibri" w:cs="Arial"/>
                <w:color w:val="FF0000"/>
              </w:rPr>
            </w:pPr>
            <w:r w:rsidRPr="00950C5E">
              <w:rPr>
                <w:rFonts w:asciiTheme="minorHAnsi" w:hAnsiTheme="minorHAnsi" w:cstheme="minorHAnsi"/>
                <w:color w:val="002060"/>
                <w:sz w:val="22"/>
                <w:szCs w:val="22"/>
              </w:rPr>
              <w:t xml:space="preserve">The course will be presented together with notes and other supporting material in the </w:t>
            </w:r>
            <w:r w:rsidRPr="001E0A7E">
              <w:rPr>
                <w:rFonts w:asciiTheme="minorHAnsi" w:hAnsiTheme="minorHAnsi" w:cstheme="minorHAnsi"/>
                <w:color w:val="002060"/>
                <w:sz w:val="22"/>
                <w:szCs w:val="22"/>
                <w:lang w:val="en-GB"/>
              </w:rPr>
              <w:t>https://oeclass.aua.gr/eclass/</w:t>
            </w:r>
          </w:p>
        </w:tc>
      </w:tr>
    </w:tbl>
    <w:p w14:paraId="5B358AE1" w14:textId="77777777" w:rsidR="00B14B74" w:rsidRPr="00950C5E" w:rsidRDefault="00B14B74" w:rsidP="0051485C">
      <w:r w:rsidRPr="00950C5E">
        <w:br w:type="page"/>
      </w:r>
    </w:p>
    <w:p w14:paraId="301DCA3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137BB10" w14:textId="77777777" w:rsidTr="00290D59">
        <w:tc>
          <w:tcPr>
            <w:tcW w:w="8364" w:type="dxa"/>
            <w:gridSpan w:val="2"/>
            <w:tcBorders>
              <w:bottom w:val="nil"/>
            </w:tcBorders>
            <w:shd w:val="clear" w:color="auto" w:fill="DDD9C3"/>
          </w:tcPr>
          <w:p w14:paraId="01E31F63" w14:textId="77777777" w:rsidR="00A41B52" w:rsidRDefault="0032220C">
            <w:pPr>
              <w:rPr>
                <w:rFonts w:ascii="Calibri" w:hAnsi="Calibri" w:cs="Arial"/>
                <w:i/>
                <w:sz w:val="16"/>
                <w:szCs w:val="16"/>
                <w:lang w:val="el-GR"/>
              </w:rPr>
            </w:pPr>
            <w:r w:rsidRPr="00705AAD">
              <w:rPr>
                <w:rFonts w:ascii="Calibri" w:hAnsi="Calibri" w:cs="Arial"/>
                <w:b/>
                <w:sz w:val="20"/>
                <w:szCs w:val="20"/>
                <w:lang w:val="el-GR"/>
              </w:rPr>
              <w:t>Learning Outcomes</w:t>
            </w:r>
          </w:p>
        </w:tc>
      </w:tr>
      <w:tr w:rsidR="00B14B74" w:rsidRPr="00FA0277" w14:paraId="6DA313C5" w14:textId="77777777" w:rsidTr="00290D59">
        <w:tc>
          <w:tcPr>
            <w:tcW w:w="8364" w:type="dxa"/>
            <w:gridSpan w:val="2"/>
            <w:tcBorders>
              <w:top w:val="nil"/>
            </w:tcBorders>
            <w:shd w:val="clear" w:color="auto" w:fill="DDD9C3"/>
          </w:tcPr>
          <w:p w14:paraId="520FFABA"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The learning outcomes of the course are described as the specific knowledge, skills and competences of an appropriate level that students will acquire after successful completion of the course.</w:t>
            </w:r>
          </w:p>
          <w:p w14:paraId="4A129EF6" w14:textId="77777777" w:rsidR="00A41B52" w:rsidRDefault="0032220C">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Consult Annex A </w:t>
            </w:r>
          </w:p>
          <w:p w14:paraId="47691198"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Description of the Level of Learning Outcomes for each cycle of study according to the Qualifications Framework of the European Higher Education Area</w:t>
            </w:r>
          </w:p>
          <w:p w14:paraId="24D4BFF9" w14:textId="77777777" w:rsidR="00A41B52" w:rsidRPr="00950C5E" w:rsidRDefault="0032220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950C5E">
              <w:rPr>
                <w:rFonts w:ascii="Calibri" w:hAnsi="Calibri" w:cs="Arial"/>
                <w:i/>
                <w:sz w:val="16"/>
                <w:szCs w:val="16"/>
              </w:rPr>
              <w:t>Descriptive Indicators for Levels 6, 7 &amp; 8 of the European Qualifications Framework for Lifelong Learning</w:t>
            </w:r>
          </w:p>
          <w:p w14:paraId="10D57F70" w14:textId="77777777" w:rsidR="00A41B52" w:rsidRDefault="0032220C">
            <w:pPr>
              <w:widowControl w:val="0"/>
              <w:autoSpaceDE w:val="0"/>
              <w:autoSpaceDN w:val="0"/>
              <w:adjustRightInd w:val="0"/>
              <w:rPr>
                <w:rFonts w:cs="Arial"/>
                <w:i/>
                <w:sz w:val="16"/>
                <w:szCs w:val="16"/>
              </w:rPr>
            </w:pPr>
            <w:r w:rsidRPr="00705AAD">
              <w:rPr>
                <w:rFonts w:ascii="Calibri" w:hAnsi="Calibri" w:cs="Arial"/>
                <w:i/>
                <w:sz w:val="16"/>
                <w:szCs w:val="16"/>
                <w:lang w:val="el-GR"/>
              </w:rPr>
              <w:t xml:space="preserve">and Annex </w:t>
            </w:r>
            <w:r w:rsidRPr="00705AAD">
              <w:rPr>
                <w:rFonts w:cs="Arial"/>
                <w:i/>
                <w:sz w:val="16"/>
                <w:szCs w:val="16"/>
              </w:rPr>
              <w:t>B</w:t>
            </w:r>
          </w:p>
          <w:p w14:paraId="6986A634"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Learning Outcomes Writing Comprehensive Guide</w:t>
            </w:r>
          </w:p>
        </w:tc>
      </w:tr>
      <w:tr w:rsidR="00B14B74" w:rsidRPr="00FA0277" w14:paraId="5355A28E" w14:textId="77777777" w:rsidTr="00290D59">
        <w:tc>
          <w:tcPr>
            <w:tcW w:w="8364" w:type="dxa"/>
            <w:gridSpan w:val="2"/>
          </w:tcPr>
          <w:p w14:paraId="243A6893" w14:textId="0432BEF9" w:rsidR="00A41B52" w:rsidRPr="0032220C" w:rsidRDefault="0032220C">
            <w:pPr>
              <w:jc w:val="both"/>
              <w:rPr>
                <w:rFonts w:ascii="Calibri" w:hAnsi="Calibri"/>
                <w:bCs/>
                <w:color w:val="002060"/>
                <w:u w:val="single"/>
              </w:rPr>
            </w:pPr>
            <w:r w:rsidRPr="00411CFE">
              <w:rPr>
                <w:rFonts w:ascii="Calibri" w:hAnsi="Calibri"/>
                <w:bCs/>
                <w:color w:val="002060"/>
                <w:u w:val="single"/>
                <w:lang w:val="el-GR"/>
              </w:rPr>
              <w:t>Knowledge</w:t>
            </w:r>
            <w:r>
              <w:rPr>
                <w:rFonts w:ascii="Calibri" w:hAnsi="Calibri"/>
                <w:bCs/>
                <w:color w:val="002060"/>
                <w:u w:val="single"/>
              </w:rPr>
              <w:t>:</w:t>
            </w:r>
          </w:p>
          <w:p w14:paraId="1868B68B" w14:textId="745AE6D9" w:rsidR="00670D50" w:rsidRPr="00670D50" w:rsidRDefault="00670D50" w:rsidP="00CD2727">
            <w:pPr>
              <w:pStyle w:val="a4"/>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 xml:space="preserve">To know the relationship between the financial system and the real estate market.  </w:t>
            </w:r>
          </w:p>
          <w:p w14:paraId="042FAC1F" w14:textId="4E96059A" w:rsidR="00670D50" w:rsidRPr="00670D50" w:rsidRDefault="00670D50" w:rsidP="00CD2727">
            <w:pPr>
              <w:pStyle w:val="a4"/>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To understand the characteristics and importance of the structure of urban property.</w:t>
            </w:r>
          </w:p>
          <w:p w14:paraId="33EAC886" w14:textId="7C0F2021" w:rsidR="00670D50" w:rsidRPr="00670D50" w:rsidRDefault="00670D50" w:rsidP="00CD2727">
            <w:pPr>
              <w:pStyle w:val="a4"/>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To understand the classical theories of land supply in the modern reality of cities.</w:t>
            </w:r>
          </w:p>
          <w:p w14:paraId="511B9D69" w14:textId="0C0DFEAC" w:rsidR="00670D50" w:rsidRPr="00670D50" w:rsidRDefault="00670D50" w:rsidP="00CD2727">
            <w:pPr>
              <w:pStyle w:val="a4"/>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To understand the characteristics and functioning of modern property markets (spatial, economic and social dimensions).</w:t>
            </w:r>
          </w:p>
          <w:p w14:paraId="13691BC4" w14:textId="7DFFB6E1" w:rsidR="00FC5151" w:rsidRPr="00670D50" w:rsidRDefault="00670D50" w:rsidP="00CD2727">
            <w:pPr>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To know the specific characteristics of property and the property market.</w:t>
            </w:r>
          </w:p>
          <w:p w14:paraId="0C3FFEF7" w14:textId="66BA4800" w:rsidR="0032220C" w:rsidRPr="008B1E7A" w:rsidRDefault="0032220C" w:rsidP="00FC5151">
            <w:pPr>
              <w:jc w:val="both"/>
              <w:rPr>
                <w:rFonts w:ascii="Calibri" w:hAnsi="Calibri"/>
                <w:bCs/>
                <w:color w:val="002060"/>
                <w:u w:val="single"/>
              </w:rPr>
            </w:pPr>
            <w:r w:rsidRPr="008B1E7A">
              <w:rPr>
                <w:rFonts w:ascii="Calibri" w:hAnsi="Calibri"/>
                <w:bCs/>
                <w:color w:val="002060"/>
                <w:u w:val="single"/>
              </w:rPr>
              <w:t>Competencies:</w:t>
            </w:r>
          </w:p>
          <w:p w14:paraId="1B3E64D1" w14:textId="21D63EE8" w:rsidR="00670D50" w:rsidRPr="00670D50" w:rsidRDefault="00670D50" w:rsidP="00CD2727">
            <w:pPr>
              <w:pStyle w:val="a4"/>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To formulate the types of financing in real estate development and distinguish between them.</w:t>
            </w:r>
          </w:p>
          <w:p w14:paraId="43AE5B0D" w14:textId="0AC8F6B5" w:rsidR="00670D50" w:rsidRPr="00670D50" w:rsidRDefault="00670D50" w:rsidP="00CD2727">
            <w:pPr>
              <w:pStyle w:val="a4"/>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To distinguish the different between real estate and other goods, and between real estate and financial markets.</w:t>
            </w:r>
          </w:p>
          <w:p w14:paraId="12E7D33F" w14:textId="3FEAA5C1" w:rsidR="00670D50" w:rsidRPr="00670D50" w:rsidRDefault="00670D50" w:rsidP="00CD2727">
            <w:pPr>
              <w:pStyle w:val="a4"/>
              <w:numPr>
                <w:ilvl w:val="0"/>
                <w:numId w:val="3"/>
              </w:numPr>
              <w:jc w:val="both"/>
              <w:rPr>
                <w:rFonts w:asciiTheme="minorHAnsi" w:hAnsiTheme="minorHAnsi" w:cstheme="minorHAnsi"/>
                <w:color w:val="1F497D" w:themeColor="text2"/>
                <w:sz w:val="20"/>
                <w:szCs w:val="20"/>
              </w:rPr>
            </w:pPr>
            <w:r w:rsidRPr="00670D50">
              <w:rPr>
                <w:rFonts w:asciiTheme="minorHAnsi" w:hAnsiTheme="minorHAnsi" w:cstheme="minorHAnsi"/>
                <w:color w:val="1F497D" w:themeColor="text2"/>
                <w:sz w:val="20"/>
                <w:szCs w:val="20"/>
              </w:rPr>
              <w:t>To explain the reasons for the creation of cycles (and bubbles) in real estate markets.</w:t>
            </w:r>
          </w:p>
          <w:p w14:paraId="2994F452" w14:textId="77777777" w:rsidR="00670D50" w:rsidRPr="00670D50" w:rsidRDefault="00670D50" w:rsidP="00CD2727">
            <w:pPr>
              <w:numPr>
                <w:ilvl w:val="0"/>
                <w:numId w:val="3"/>
              </w:numPr>
              <w:jc w:val="both"/>
              <w:rPr>
                <w:rFonts w:ascii="Calibri" w:hAnsi="Calibri"/>
                <w:bCs/>
                <w:color w:val="002060"/>
                <w:u w:val="single"/>
              </w:rPr>
            </w:pPr>
            <w:r w:rsidRPr="00670D50">
              <w:rPr>
                <w:rFonts w:asciiTheme="minorHAnsi" w:hAnsiTheme="minorHAnsi" w:cstheme="minorHAnsi"/>
                <w:color w:val="1F497D" w:themeColor="text2"/>
                <w:sz w:val="20"/>
                <w:szCs w:val="20"/>
              </w:rPr>
              <w:t>To formulate the structural changes that modern cities are undergoing and how these affect the distribution of activities in space.</w:t>
            </w:r>
          </w:p>
          <w:p w14:paraId="0EB59226" w14:textId="389E3CF2" w:rsidR="00A41B52" w:rsidRDefault="0032220C" w:rsidP="00670D50">
            <w:pPr>
              <w:jc w:val="both"/>
              <w:rPr>
                <w:rFonts w:ascii="Calibri" w:hAnsi="Calibri"/>
                <w:bCs/>
                <w:color w:val="002060"/>
                <w:u w:val="single"/>
              </w:rPr>
            </w:pPr>
            <w:r w:rsidRPr="008B1E7A">
              <w:rPr>
                <w:rFonts w:ascii="Calibri" w:hAnsi="Calibri"/>
                <w:bCs/>
                <w:color w:val="002060"/>
                <w:u w:val="single"/>
              </w:rPr>
              <w:t>Skills</w:t>
            </w:r>
            <w:r w:rsidRPr="00411CFE">
              <w:rPr>
                <w:rFonts w:ascii="Calibri" w:hAnsi="Calibri"/>
                <w:bCs/>
                <w:color w:val="002060"/>
                <w:u w:val="single"/>
              </w:rPr>
              <w:t>:</w:t>
            </w:r>
          </w:p>
          <w:p w14:paraId="378A415E" w14:textId="7659634B" w:rsidR="00E44CC5" w:rsidRPr="00E44CC5" w:rsidRDefault="00E44CC5" w:rsidP="00CD2727">
            <w:pPr>
              <w:numPr>
                <w:ilvl w:val="0"/>
                <w:numId w:val="4"/>
              </w:numPr>
              <w:jc w:val="both"/>
              <w:rPr>
                <w:rFonts w:asciiTheme="minorHAnsi" w:hAnsiTheme="minorHAnsi" w:cstheme="minorHAnsi"/>
                <w:color w:val="1F497D" w:themeColor="text2"/>
                <w:sz w:val="20"/>
                <w:szCs w:val="20"/>
              </w:rPr>
            </w:pPr>
            <w:r w:rsidRPr="00E44CC5">
              <w:rPr>
                <w:rFonts w:asciiTheme="minorHAnsi" w:hAnsiTheme="minorHAnsi" w:cstheme="minorHAnsi"/>
                <w:color w:val="1F497D" w:themeColor="text2"/>
                <w:sz w:val="20"/>
                <w:szCs w:val="20"/>
              </w:rPr>
              <w:t xml:space="preserve">To analyse urban real estate markets (residential, commercial, tourist real estate)    </w:t>
            </w:r>
          </w:p>
          <w:p w14:paraId="7D26C4B7" w14:textId="53C70B85" w:rsidR="00AE3EC2" w:rsidRPr="00950C5E" w:rsidRDefault="00E44CC5" w:rsidP="00CD2727">
            <w:pPr>
              <w:numPr>
                <w:ilvl w:val="0"/>
                <w:numId w:val="4"/>
              </w:numPr>
              <w:jc w:val="both"/>
              <w:rPr>
                <w:rFonts w:asciiTheme="minorHAnsi" w:hAnsiTheme="minorHAnsi" w:cstheme="minorHAnsi"/>
                <w:color w:val="1F497D" w:themeColor="text2"/>
                <w:sz w:val="20"/>
                <w:szCs w:val="20"/>
              </w:rPr>
            </w:pPr>
            <w:r w:rsidRPr="00E44CC5">
              <w:rPr>
                <w:rFonts w:asciiTheme="minorHAnsi" w:hAnsiTheme="minorHAnsi" w:cstheme="minorHAnsi"/>
                <w:color w:val="1F497D" w:themeColor="text2"/>
                <w:sz w:val="20"/>
                <w:szCs w:val="20"/>
              </w:rPr>
              <w:t>To explain the local urban property markets and the factors external to them that influence them, as well as the possibilities of using them to promote urban regeneration programmes.</w:t>
            </w:r>
          </w:p>
        </w:tc>
      </w:tr>
      <w:tr w:rsidR="00B14B74" w:rsidRPr="00705AAD" w14:paraId="0E22408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174A0804" w14:textId="77777777" w:rsidR="00A41B52" w:rsidRDefault="0032220C">
            <w:pPr>
              <w:rPr>
                <w:rFonts w:ascii="Calibri" w:hAnsi="Calibri" w:cs="Arial"/>
                <w:b/>
                <w:sz w:val="20"/>
                <w:szCs w:val="20"/>
                <w:lang w:val="el-GR"/>
              </w:rPr>
            </w:pPr>
            <w:r w:rsidRPr="00705AAD">
              <w:rPr>
                <w:rFonts w:ascii="Calibri" w:hAnsi="Calibri" w:cs="Arial"/>
                <w:b/>
                <w:sz w:val="20"/>
                <w:szCs w:val="20"/>
                <w:lang w:val="el-GR"/>
              </w:rPr>
              <w:t>General skills</w:t>
            </w:r>
          </w:p>
        </w:tc>
      </w:tr>
      <w:tr w:rsidR="00B14B74" w:rsidRPr="00FA0277" w14:paraId="17F7EECC" w14:textId="77777777" w:rsidTr="00290D59">
        <w:tc>
          <w:tcPr>
            <w:tcW w:w="8364" w:type="dxa"/>
            <w:gridSpan w:val="2"/>
            <w:tcBorders>
              <w:top w:val="nil"/>
              <w:bottom w:val="nil"/>
            </w:tcBorders>
            <w:shd w:val="clear" w:color="auto" w:fill="DDD9C3"/>
          </w:tcPr>
          <w:p w14:paraId="5312EC16"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FA0277" w14:paraId="5F413BF0" w14:textId="77777777" w:rsidTr="00290D59">
        <w:tblPrEx>
          <w:tblLook w:val="0000" w:firstRow="0" w:lastRow="0" w:firstColumn="0" w:lastColumn="0" w:noHBand="0" w:noVBand="0"/>
        </w:tblPrEx>
        <w:tc>
          <w:tcPr>
            <w:tcW w:w="3856" w:type="dxa"/>
            <w:tcBorders>
              <w:top w:val="nil"/>
              <w:right w:val="nil"/>
            </w:tcBorders>
            <w:shd w:val="clear" w:color="auto" w:fill="DDD9C3"/>
          </w:tcPr>
          <w:p w14:paraId="1D90C3AE"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Search, analysis and synthesis of data and information, using the necessary technologies </w:t>
            </w:r>
          </w:p>
          <w:p w14:paraId="55AFAD32"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Adapting to new situations </w:t>
            </w:r>
          </w:p>
          <w:p w14:paraId="4F943FD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Decision-making </w:t>
            </w:r>
          </w:p>
          <w:p w14:paraId="0561EB6F"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Autonomous work </w:t>
            </w:r>
          </w:p>
          <w:p w14:paraId="1891AA03"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Teamwork </w:t>
            </w:r>
          </w:p>
          <w:p w14:paraId="273400C5"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international environment </w:t>
            </w:r>
          </w:p>
          <w:p w14:paraId="110E4A94"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interdisciplinary environment </w:t>
            </w:r>
          </w:p>
          <w:p w14:paraId="6C4FCE6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Generating new research ideas </w:t>
            </w:r>
          </w:p>
        </w:tc>
        <w:tc>
          <w:tcPr>
            <w:tcW w:w="4508" w:type="dxa"/>
            <w:tcBorders>
              <w:top w:val="nil"/>
              <w:left w:val="nil"/>
            </w:tcBorders>
            <w:shd w:val="clear" w:color="auto" w:fill="DDD9C3"/>
          </w:tcPr>
          <w:p w14:paraId="4CAE3FED"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Project planning and management </w:t>
            </w:r>
          </w:p>
          <w:p w14:paraId="53D74056"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Respect for diversity and multiculturalism </w:t>
            </w:r>
          </w:p>
          <w:p w14:paraId="03CC09E6"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Respect for the natural environment </w:t>
            </w:r>
          </w:p>
          <w:p w14:paraId="45A46A30"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Demonstrate social, professional and ethical responsibility and sensitivity to gender issues </w:t>
            </w:r>
          </w:p>
          <w:p w14:paraId="4F8A7EAA"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Exercise of criticism and self-criticism </w:t>
            </w:r>
          </w:p>
          <w:p w14:paraId="0F2A27B0" w14:textId="77777777" w:rsidR="00A41B52" w:rsidRPr="00950C5E" w:rsidRDefault="0032220C">
            <w:pPr>
              <w:rPr>
                <w:rFonts w:ascii="Calibri" w:hAnsi="Calibri" w:cs="Arial"/>
                <w:b/>
                <w:sz w:val="20"/>
                <w:szCs w:val="20"/>
              </w:rPr>
            </w:pPr>
            <w:r w:rsidRPr="00950C5E">
              <w:rPr>
                <w:rFonts w:ascii="Calibri" w:hAnsi="Calibri" w:cs="Arial"/>
                <w:b/>
                <w:i/>
                <w:sz w:val="16"/>
                <w:szCs w:val="16"/>
              </w:rPr>
              <w:t>Promoting free, creative and inductive thinking</w:t>
            </w:r>
          </w:p>
        </w:tc>
      </w:tr>
      <w:tr w:rsidR="00B14B74" w:rsidRPr="00FA0277" w14:paraId="479CD5C3" w14:textId="77777777" w:rsidTr="00290D59">
        <w:tc>
          <w:tcPr>
            <w:tcW w:w="8364" w:type="dxa"/>
            <w:gridSpan w:val="2"/>
          </w:tcPr>
          <w:p w14:paraId="1FB9BFD0" w14:textId="77777777" w:rsidR="00FC5151"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Search, analysis and synt</w:t>
            </w:r>
            <w:r w:rsidR="00FC5151">
              <w:rPr>
                <w:rFonts w:asciiTheme="minorHAnsi" w:hAnsiTheme="minorHAnsi" w:cstheme="minorHAnsi"/>
                <w:color w:val="002060"/>
                <w:sz w:val="22"/>
                <w:szCs w:val="22"/>
                <w:lang w:val="en-GB"/>
              </w:rPr>
              <w:t xml:space="preserve">hesis of data and information, </w:t>
            </w:r>
          </w:p>
          <w:p w14:paraId="44821462" w14:textId="7DB83AEE" w:rsidR="0032220C" w:rsidRPr="0032220C" w:rsidRDefault="00FC5151" w:rsidP="0032220C">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w:t>
            </w:r>
            <w:r w:rsidR="0032220C" w:rsidRPr="0032220C">
              <w:rPr>
                <w:rFonts w:asciiTheme="minorHAnsi" w:hAnsiTheme="minorHAnsi" w:cstheme="minorHAnsi"/>
                <w:color w:val="002060"/>
                <w:sz w:val="22"/>
                <w:szCs w:val="22"/>
                <w:lang w:val="en-GB"/>
              </w:rPr>
              <w:t xml:space="preserve">sing the necessary technologies </w:t>
            </w:r>
          </w:p>
          <w:p w14:paraId="4B2EC4A4"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Decision-making </w:t>
            </w:r>
          </w:p>
          <w:p w14:paraId="4E87B7A3" w14:textId="29EA2D24" w:rsidR="00B14B74" w:rsidRPr="00FC5151" w:rsidRDefault="0032220C" w:rsidP="00FC5151">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Generating new research ideas</w:t>
            </w:r>
          </w:p>
        </w:tc>
      </w:tr>
    </w:tbl>
    <w:p w14:paraId="66C179BF"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8B1E7A" w14:paraId="6F3957A2" w14:textId="77777777" w:rsidTr="008B1E7A">
        <w:tc>
          <w:tcPr>
            <w:tcW w:w="8472" w:type="dxa"/>
          </w:tcPr>
          <w:p w14:paraId="073EBFC1"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Definition and characteristics of real estate and the market.</w:t>
            </w:r>
          </w:p>
          <w:p w14:paraId="0D4F00F2"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The place of real estate in the context of urban regeneration planning. Its spatial, social, economic and political dimensions.</w:t>
            </w:r>
          </w:p>
          <w:p w14:paraId="2AE3EF60"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Elements of real estate law.</w:t>
            </w:r>
          </w:p>
          <w:p w14:paraId="0562F6D7"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The characteristics of the real estate market and its peculiarities in relation to other markets. Real estate values.</w:t>
            </w:r>
          </w:p>
          <w:p w14:paraId="40A45C17"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The local dimensions of the real estate market and its role in urban development. Financial system and the real estate market. Real estate securitisation.</w:t>
            </w:r>
          </w:p>
          <w:p w14:paraId="7C6DAADB"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lastRenderedPageBreak/>
              <w:t>The functioning of globalised urban real estate markets.</w:t>
            </w:r>
          </w:p>
          <w:p w14:paraId="16407EDC"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Critique of classical approaches to the production and management of urban land supply.</w:t>
            </w:r>
          </w:p>
          <w:p w14:paraId="434F7598"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Modern mechanisms of land supply production.</w:t>
            </w:r>
          </w:p>
          <w:p w14:paraId="5A5F207C"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The effects of instability in real estate markets, on the economy and society.</w:t>
            </w:r>
          </w:p>
          <w:p w14:paraId="0E6E0DD7" w14:textId="77777777" w:rsidR="00E44CC5"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The relationship between the real estate market and the policies of financing urban development.</w:t>
            </w:r>
          </w:p>
          <w:p w14:paraId="27688169" w14:textId="2A7027A4" w:rsidR="008B1E7A" w:rsidRPr="00E44CC5" w:rsidRDefault="00E44CC5" w:rsidP="00CD2727">
            <w:pPr>
              <w:pStyle w:val="a4"/>
              <w:numPr>
                <w:ilvl w:val="0"/>
                <w:numId w:val="6"/>
              </w:numPr>
              <w:rPr>
                <w:rFonts w:asciiTheme="minorHAnsi" w:hAnsiTheme="minorHAnsi" w:cstheme="minorHAnsi"/>
                <w:color w:val="002060"/>
                <w:sz w:val="22"/>
                <w:szCs w:val="22"/>
              </w:rPr>
            </w:pPr>
            <w:r w:rsidRPr="00E44CC5">
              <w:rPr>
                <w:rFonts w:asciiTheme="minorHAnsi" w:hAnsiTheme="minorHAnsi" w:cstheme="minorHAnsi"/>
                <w:color w:val="002060"/>
                <w:sz w:val="22"/>
                <w:szCs w:val="22"/>
              </w:rPr>
              <w:t>Technical analysis of the real estate market at the local level: Residential, commercial and special real estate (tourist properties) market.</w:t>
            </w:r>
          </w:p>
        </w:tc>
      </w:tr>
    </w:tbl>
    <w:p w14:paraId="05E3CE6D"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FA0277" w14:paraId="03F1EAA5" w14:textId="77777777" w:rsidTr="0001411A">
        <w:tc>
          <w:tcPr>
            <w:tcW w:w="3306" w:type="dxa"/>
            <w:shd w:val="clear" w:color="auto" w:fill="DDD9C3"/>
          </w:tcPr>
          <w:p w14:paraId="0F72E6B8"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METHOD OF DELIVERY</w:t>
            </w:r>
            <w:r w:rsidRPr="00950C5E">
              <w:rPr>
                <w:rFonts w:ascii="Calibri" w:hAnsi="Calibri" w:cs="Arial"/>
                <w:b/>
                <w:sz w:val="20"/>
                <w:szCs w:val="20"/>
              </w:rPr>
              <w:br/>
            </w:r>
            <w:r w:rsidRPr="00950C5E">
              <w:rPr>
                <w:rFonts w:ascii="Calibri" w:hAnsi="Calibri" w:cs="Arial"/>
                <w:i/>
                <w:sz w:val="16"/>
                <w:szCs w:val="16"/>
              </w:rPr>
              <w:t>Face-to-face, Distance learning, etc.</w:t>
            </w:r>
          </w:p>
        </w:tc>
        <w:tc>
          <w:tcPr>
            <w:tcW w:w="5166" w:type="dxa"/>
          </w:tcPr>
          <w:p w14:paraId="4609E062" w14:textId="77777777" w:rsidR="00A41B52" w:rsidRPr="00950C5E" w:rsidRDefault="0032220C">
            <w:pPr>
              <w:spacing w:after="200" w:line="276" w:lineRule="auto"/>
              <w:rPr>
                <w:rFonts w:ascii="Calibri" w:hAnsi="Calibri"/>
                <w:iCs/>
                <w:color w:val="1F497D" w:themeColor="text2"/>
              </w:rPr>
            </w:pPr>
            <w:r w:rsidRPr="00950C5E">
              <w:rPr>
                <w:rFonts w:ascii="Calibri" w:hAnsi="Calibri"/>
                <w:iCs/>
                <w:color w:val="1F497D" w:themeColor="text2"/>
                <w:sz w:val="22"/>
                <w:szCs w:val="22"/>
              </w:rPr>
              <w:t xml:space="preserve">Lectures and meetings with students </w:t>
            </w:r>
          </w:p>
        </w:tc>
      </w:tr>
      <w:tr w:rsidR="00B14B74" w:rsidRPr="009B7F11" w14:paraId="1670B0BB" w14:textId="77777777" w:rsidTr="0001411A">
        <w:tc>
          <w:tcPr>
            <w:tcW w:w="3306" w:type="dxa"/>
            <w:shd w:val="clear" w:color="auto" w:fill="DDD9C3"/>
          </w:tcPr>
          <w:p w14:paraId="72C363A7" w14:textId="77777777" w:rsidR="00A41B52" w:rsidRPr="00950C5E" w:rsidRDefault="0032220C">
            <w:pPr>
              <w:jc w:val="right"/>
              <w:rPr>
                <w:rFonts w:ascii="Calibri" w:hAnsi="Calibri" w:cs="Arial"/>
                <w:i/>
                <w:sz w:val="16"/>
                <w:szCs w:val="16"/>
              </w:rPr>
            </w:pPr>
            <w:r w:rsidRPr="00950C5E">
              <w:rPr>
                <w:rFonts w:ascii="Calibri" w:hAnsi="Calibri" w:cs="Arial"/>
                <w:b/>
                <w:sz w:val="20"/>
                <w:szCs w:val="20"/>
              </w:rPr>
              <w:t>USE OF INFORMATION AND COMMUNICATION TECHNOLOGIES</w:t>
            </w:r>
            <w:r w:rsidRPr="00950C5E">
              <w:rPr>
                <w:rFonts w:ascii="Calibri" w:hAnsi="Calibri" w:cs="Arial"/>
                <w:b/>
                <w:sz w:val="20"/>
                <w:szCs w:val="20"/>
              </w:rPr>
              <w:br/>
            </w:r>
            <w:r w:rsidRPr="00950C5E">
              <w:rPr>
                <w:rFonts w:ascii="Calibri" w:hAnsi="Calibri" w:cs="Arial"/>
                <w:i/>
                <w:sz w:val="16"/>
                <w:szCs w:val="16"/>
              </w:rPr>
              <w:t>Use of ICT in Teaching, Laboratory Training, Communication with students</w:t>
            </w:r>
          </w:p>
        </w:tc>
        <w:tc>
          <w:tcPr>
            <w:tcW w:w="5166" w:type="dxa"/>
          </w:tcPr>
          <w:p w14:paraId="4CD2E1D9" w14:textId="77777777" w:rsidR="00A41B52" w:rsidRPr="00950C5E" w:rsidRDefault="00896F6C">
            <w:pPr>
              <w:rPr>
                <w:rFonts w:ascii="Calibri" w:hAnsi="Calibri" w:cs="Arial"/>
                <w:color w:val="1F497D" w:themeColor="text2"/>
                <w:sz w:val="22"/>
                <w:szCs w:val="22"/>
              </w:rPr>
            </w:pPr>
            <w:r w:rsidRPr="00950C5E">
              <w:rPr>
                <w:rFonts w:ascii="Calibri" w:hAnsi="Calibri" w:cs="Arial"/>
                <w:color w:val="1F497D" w:themeColor="text2"/>
                <w:sz w:val="22"/>
                <w:szCs w:val="22"/>
              </w:rPr>
              <w:t xml:space="preserve">Computer and interactive whiteboard will be used in the teaching. </w:t>
            </w:r>
          </w:p>
          <w:p w14:paraId="512F1620" w14:textId="1DF7F1E7" w:rsidR="00A41B52" w:rsidRPr="00950C5E" w:rsidRDefault="0032220C" w:rsidP="0032220C">
            <w:pPr>
              <w:rPr>
                <w:rFonts w:ascii="Calibri" w:hAnsi="Calibri" w:cs="Arial"/>
                <w:color w:val="1F497D" w:themeColor="text2"/>
              </w:rPr>
            </w:pPr>
            <w:r w:rsidRPr="0032220C">
              <w:rPr>
                <w:rFonts w:ascii="Calibri" w:hAnsi="Calibri" w:cs="Arial"/>
                <w:color w:val="1F497D" w:themeColor="text2"/>
                <w:sz w:val="22"/>
                <w:szCs w:val="22"/>
              </w:rPr>
              <w:t>Communication with students will be done on a personal level, also using e-mail and telecommunication (e.g. Skype)</w:t>
            </w:r>
          </w:p>
        </w:tc>
      </w:tr>
      <w:tr w:rsidR="00B14B74" w:rsidRPr="00705AAD" w14:paraId="59D17D4D" w14:textId="77777777" w:rsidTr="0001411A">
        <w:tc>
          <w:tcPr>
            <w:tcW w:w="3306" w:type="dxa"/>
            <w:shd w:val="clear" w:color="auto" w:fill="DDD9C3"/>
          </w:tcPr>
          <w:p w14:paraId="7C38A702"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ORGANISATION OF TEACHING</w:t>
            </w:r>
          </w:p>
          <w:p w14:paraId="246BF6F5"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The way and methods of teaching are described in detail.</w:t>
            </w:r>
          </w:p>
          <w:p w14:paraId="5CEDD8F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Lectures, Seminars, Laboratory Exercise, Field Exercise, Study &amp; Analysis of Literature, Tutoring, Practical (Placement), Clinical Exercise, Artistic Workshop, Interactive teaching, Educational visits, Study visits, Project work, Writing work / assignments, Artistic creation, etc.</w:t>
            </w:r>
          </w:p>
          <w:p w14:paraId="2BA94BE8" w14:textId="77777777" w:rsidR="00B14B74" w:rsidRPr="00950C5E" w:rsidRDefault="00B14B74" w:rsidP="0001411A">
            <w:pPr>
              <w:jc w:val="both"/>
              <w:rPr>
                <w:rFonts w:ascii="Calibri" w:hAnsi="Calibri" w:cs="Arial"/>
                <w:i/>
                <w:sz w:val="16"/>
                <w:szCs w:val="16"/>
              </w:rPr>
            </w:pPr>
          </w:p>
          <w:p w14:paraId="18D1C46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 xml:space="preserve">The student's study hours for each learning activity as well as the hours of unguided study are indicated so that the total workload at semester level corresponds to the </w:t>
            </w:r>
            <w:r w:rsidRPr="00705AAD">
              <w:rPr>
                <w:rFonts w:ascii="Calibri" w:hAnsi="Calibri" w:cs="Arial"/>
                <w:i/>
                <w:sz w:val="16"/>
                <w:szCs w:val="16"/>
              </w:rPr>
              <w:t>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5611" w:rsidRPr="00AF5611" w14:paraId="3B34624B"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82A9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1378D4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Semester workload</w:t>
                  </w:r>
                </w:p>
              </w:tc>
            </w:tr>
            <w:tr w:rsidR="00E44CC5" w:rsidRPr="00AF5611" w14:paraId="08561D4E" w14:textId="77777777" w:rsidTr="00C44467">
              <w:tc>
                <w:tcPr>
                  <w:tcW w:w="2467" w:type="dxa"/>
                  <w:tcBorders>
                    <w:top w:val="single" w:sz="4" w:space="0" w:color="auto"/>
                    <w:left w:val="single" w:sz="4" w:space="0" w:color="auto"/>
                    <w:bottom w:val="single" w:sz="4" w:space="0" w:color="auto"/>
                    <w:right w:val="single" w:sz="4" w:space="0" w:color="auto"/>
                  </w:tcBorders>
                </w:tcPr>
                <w:p w14:paraId="63ABAE3C" w14:textId="76940818" w:rsidR="00E44CC5" w:rsidRDefault="00E44CC5" w:rsidP="00E44CC5">
                  <w:pPr>
                    <w:rPr>
                      <w:rFonts w:ascii="Calibri" w:hAnsi="Calibri"/>
                      <w:iCs/>
                      <w:color w:val="1F497D" w:themeColor="text2"/>
                      <w:lang w:val="el-GR"/>
                    </w:rPr>
                  </w:pPr>
                  <w:r w:rsidRPr="006A6533">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C482F94" w14:textId="77777777" w:rsidR="00E44CC5" w:rsidRDefault="00E44CC5" w:rsidP="00E44CC5">
                  <w:pPr>
                    <w:jc w:val="center"/>
                    <w:rPr>
                      <w:rFonts w:ascii="Calibri" w:hAnsi="Calibri" w:cs="Arial"/>
                      <w:color w:val="1F497D" w:themeColor="text2"/>
                      <w:lang w:val="el-GR"/>
                    </w:rPr>
                  </w:pPr>
                  <w:r>
                    <w:rPr>
                      <w:rFonts w:ascii="Calibri" w:hAnsi="Calibri" w:cs="Arial"/>
                      <w:color w:val="1F497D" w:themeColor="text2"/>
                      <w:sz w:val="22"/>
                      <w:szCs w:val="22"/>
                    </w:rPr>
                    <w:t xml:space="preserve">52 </w:t>
                  </w:r>
                  <w:r w:rsidRPr="00AF5611">
                    <w:rPr>
                      <w:rFonts w:ascii="Calibri" w:hAnsi="Calibri" w:cs="Arial"/>
                      <w:color w:val="1F497D" w:themeColor="text2"/>
                      <w:sz w:val="22"/>
                      <w:szCs w:val="22"/>
                      <w:lang w:val="el-GR"/>
                    </w:rPr>
                    <w:t>hours</w:t>
                  </w:r>
                </w:p>
              </w:tc>
            </w:tr>
            <w:tr w:rsidR="00E44CC5" w:rsidRPr="00AF5611" w14:paraId="6D211FED" w14:textId="77777777" w:rsidTr="00C44467">
              <w:tc>
                <w:tcPr>
                  <w:tcW w:w="2467" w:type="dxa"/>
                  <w:tcBorders>
                    <w:top w:val="single" w:sz="4" w:space="0" w:color="auto"/>
                    <w:left w:val="single" w:sz="4" w:space="0" w:color="auto"/>
                    <w:bottom w:val="single" w:sz="4" w:space="0" w:color="auto"/>
                    <w:right w:val="single" w:sz="4" w:space="0" w:color="auto"/>
                  </w:tcBorders>
                </w:tcPr>
                <w:p w14:paraId="6AAEF953" w14:textId="42515669" w:rsidR="00E44CC5" w:rsidRPr="00950C5E" w:rsidRDefault="00E44CC5" w:rsidP="00E44CC5">
                  <w:pPr>
                    <w:rPr>
                      <w:rFonts w:ascii="Calibri" w:hAnsi="Calibri"/>
                      <w:iCs/>
                      <w:color w:val="1F497D" w:themeColor="text2"/>
                    </w:rPr>
                  </w:pPr>
                  <w:r w:rsidRPr="006A6533">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559FC3A3" w14:textId="569C9B77" w:rsidR="00E44CC5" w:rsidRDefault="00E44CC5" w:rsidP="00E44CC5">
                  <w:pPr>
                    <w:jc w:val="center"/>
                    <w:rPr>
                      <w:rFonts w:ascii="Calibri" w:hAnsi="Calibri" w:cs="Arial"/>
                      <w:color w:val="1F497D" w:themeColor="text2"/>
                      <w:lang w:val="el-GR"/>
                    </w:rPr>
                  </w:pPr>
                  <w:r>
                    <w:rPr>
                      <w:rFonts w:ascii="Calibri" w:hAnsi="Calibri" w:cs="Arial"/>
                      <w:color w:val="1F497D" w:themeColor="text2"/>
                      <w:sz w:val="22"/>
                      <w:szCs w:val="22"/>
                      <w:lang w:val="el-GR"/>
                    </w:rPr>
                    <w:t>52</w:t>
                  </w:r>
                  <w:r>
                    <w:rPr>
                      <w:rFonts w:ascii="Calibri" w:hAnsi="Calibri" w:cs="Arial"/>
                      <w:color w:val="1F497D" w:themeColor="text2"/>
                      <w:sz w:val="22"/>
                      <w:szCs w:val="22"/>
                    </w:rPr>
                    <w:t xml:space="preserve"> </w:t>
                  </w:r>
                  <w:r w:rsidRPr="00AF5611">
                    <w:rPr>
                      <w:rFonts w:ascii="Calibri" w:hAnsi="Calibri" w:cs="Arial"/>
                      <w:color w:val="1F497D" w:themeColor="text2"/>
                      <w:sz w:val="22"/>
                      <w:szCs w:val="22"/>
                      <w:lang w:val="el-GR"/>
                    </w:rPr>
                    <w:t>hours</w:t>
                  </w:r>
                </w:p>
              </w:tc>
            </w:tr>
            <w:tr w:rsidR="00E44CC5" w:rsidRPr="00AF5611" w14:paraId="174E76D1" w14:textId="77777777" w:rsidTr="00C44467">
              <w:tc>
                <w:tcPr>
                  <w:tcW w:w="2467" w:type="dxa"/>
                  <w:tcBorders>
                    <w:top w:val="single" w:sz="4" w:space="0" w:color="auto"/>
                    <w:left w:val="single" w:sz="4" w:space="0" w:color="auto"/>
                    <w:bottom w:val="single" w:sz="4" w:space="0" w:color="auto"/>
                    <w:right w:val="single" w:sz="4" w:space="0" w:color="auto"/>
                  </w:tcBorders>
                </w:tcPr>
                <w:p w14:paraId="2AD2AD87" w14:textId="3C36AF1E" w:rsidR="00E44CC5" w:rsidRPr="00E44CC5" w:rsidRDefault="00E44CC5" w:rsidP="00E44CC5">
                  <w:pPr>
                    <w:rPr>
                      <w:rFonts w:ascii="Calibri" w:hAnsi="Calibri"/>
                      <w:iCs/>
                      <w:color w:val="1F497D" w:themeColor="text2"/>
                    </w:rPr>
                  </w:pPr>
                  <w:r>
                    <w:rPr>
                      <w:rFonts w:asciiTheme="minorHAnsi" w:hAnsiTheme="minorHAnsi" w:cstheme="minorHAnsi"/>
                      <w:iCs/>
                      <w:color w:val="002060"/>
                      <w:sz w:val="22"/>
                      <w:szCs w:val="22"/>
                    </w:rPr>
                    <w:t>Case studies</w:t>
                  </w:r>
                </w:p>
              </w:tc>
              <w:tc>
                <w:tcPr>
                  <w:tcW w:w="2468" w:type="dxa"/>
                  <w:tcBorders>
                    <w:top w:val="single" w:sz="4" w:space="0" w:color="auto"/>
                    <w:left w:val="single" w:sz="4" w:space="0" w:color="auto"/>
                    <w:bottom w:val="single" w:sz="4" w:space="0" w:color="auto"/>
                    <w:right w:val="single" w:sz="4" w:space="0" w:color="auto"/>
                  </w:tcBorders>
                </w:tcPr>
                <w:p w14:paraId="6F57D334" w14:textId="608B91A3" w:rsidR="00E44CC5" w:rsidRDefault="00E44CC5" w:rsidP="00E44CC5">
                  <w:pPr>
                    <w:jc w:val="center"/>
                    <w:rPr>
                      <w:rFonts w:ascii="Calibri" w:hAnsi="Calibri" w:cs="Arial"/>
                      <w:color w:val="1F497D" w:themeColor="text2"/>
                      <w:lang w:val="el-GR"/>
                    </w:rPr>
                  </w:pPr>
                  <w:r>
                    <w:rPr>
                      <w:rFonts w:ascii="Calibri" w:hAnsi="Calibri" w:cs="Arial"/>
                      <w:color w:val="1F497D" w:themeColor="text2"/>
                      <w:lang w:val="el-GR"/>
                    </w:rPr>
                    <w:t xml:space="preserve">21 </w:t>
                  </w:r>
                  <w:r w:rsidRPr="00AF5611">
                    <w:rPr>
                      <w:rFonts w:ascii="Calibri" w:hAnsi="Calibri" w:cs="Arial"/>
                      <w:color w:val="1F497D" w:themeColor="text2"/>
                      <w:sz w:val="22"/>
                      <w:szCs w:val="22"/>
                      <w:lang w:val="el-GR"/>
                    </w:rPr>
                    <w:t>hours</w:t>
                  </w:r>
                </w:p>
              </w:tc>
            </w:tr>
            <w:tr w:rsidR="00950C5E" w:rsidRPr="00AF5611" w14:paraId="69F4C69F" w14:textId="77777777" w:rsidTr="00C44467">
              <w:tc>
                <w:tcPr>
                  <w:tcW w:w="2467" w:type="dxa"/>
                  <w:tcBorders>
                    <w:top w:val="single" w:sz="4" w:space="0" w:color="auto"/>
                    <w:left w:val="single" w:sz="4" w:space="0" w:color="auto"/>
                    <w:bottom w:val="single" w:sz="4" w:space="0" w:color="auto"/>
                    <w:right w:val="single" w:sz="4" w:space="0" w:color="auto"/>
                  </w:tcBorders>
                </w:tcPr>
                <w:p w14:paraId="3830EC65"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47E9A89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08F7C35" w14:textId="77777777" w:rsidTr="00C44467">
              <w:tc>
                <w:tcPr>
                  <w:tcW w:w="2467" w:type="dxa"/>
                  <w:tcBorders>
                    <w:top w:val="single" w:sz="4" w:space="0" w:color="auto"/>
                    <w:left w:val="single" w:sz="4" w:space="0" w:color="auto"/>
                    <w:bottom w:val="single" w:sz="4" w:space="0" w:color="auto"/>
                    <w:right w:val="single" w:sz="4" w:space="0" w:color="auto"/>
                  </w:tcBorders>
                </w:tcPr>
                <w:p w14:paraId="6E74BCF1"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F815B1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B5577E2" w14:textId="77777777" w:rsidTr="00C44467">
              <w:tc>
                <w:tcPr>
                  <w:tcW w:w="2467" w:type="dxa"/>
                  <w:tcBorders>
                    <w:top w:val="single" w:sz="4" w:space="0" w:color="auto"/>
                    <w:left w:val="single" w:sz="4" w:space="0" w:color="auto"/>
                    <w:bottom w:val="single" w:sz="4" w:space="0" w:color="auto"/>
                    <w:right w:val="single" w:sz="4" w:space="0" w:color="auto"/>
                  </w:tcBorders>
                </w:tcPr>
                <w:p w14:paraId="4B9CDFB6"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C3F16AB"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69095312" w14:textId="77777777" w:rsidTr="00C44467">
              <w:tc>
                <w:tcPr>
                  <w:tcW w:w="2467" w:type="dxa"/>
                  <w:tcBorders>
                    <w:top w:val="single" w:sz="4" w:space="0" w:color="auto"/>
                    <w:left w:val="single" w:sz="4" w:space="0" w:color="auto"/>
                    <w:bottom w:val="single" w:sz="4" w:space="0" w:color="auto"/>
                    <w:right w:val="single" w:sz="4" w:space="0" w:color="auto"/>
                  </w:tcBorders>
                </w:tcPr>
                <w:p w14:paraId="18E50A2C"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25C3F135"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0EFDB67D" w14:textId="77777777" w:rsidTr="00C44467">
              <w:tc>
                <w:tcPr>
                  <w:tcW w:w="2467" w:type="dxa"/>
                  <w:tcBorders>
                    <w:top w:val="single" w:sz="4" w:space="0" w:color="auto"/>
                    <w:left w:val="single" w:sz="4" w:space="0" w:color="auto"/>
                    <w:bottom w:val="single" w:sz="4" w:space="0" w:color="auto"/>
                    <w:right w:val="single" w:sz="4" w:space="0" w:color="auto"/>
                  </w:tcBorders>
                </w:tcPr>
                <w:p w14:paraId="25C4CB0F"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09AEB90C"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3359D83E" w14:textId="77777777" w:rsidTr="00C44467">
              <w:tc>
                <w:tcPr>
                  <w:tcW w:w="2467" w:type="dxa"/>
                  <w:tcBorders>
                    <w:top w:val="single" w:sz="4" w:space="0" w:color="auto"/>
                    <w:left w:val="single" w:sz="4" w:space="0" w:color="auto"/>
                    <w:bottom w:val="single" w:sz="4" w:space="0" w:color="auto"/>
                    <w:right w:val="single" w:sz="4" w:space="0" w:color="auto"/>
                  </w:tcBorders>
                </w:tcPr>
                <w:p w14:paraId="364E8492"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7D40A07D"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310AE853" w14:textId="77777777" w:rsidTr="00C44467">
              <w:tc>
                <w:tcPr>
                  <w:tcW w:w="2467" w:type="dxa"/>
                  <w:tcBorders>
                    <w:top w:val="single" w:sz="4" w:space="0" w:color="auto"/>
                    <w:left w:val="single" w:sz="4" w:space="0" w:color="auto"/>
                    <w:bottom w:val="single" w:sz="4" w:space="0" w:color="auto"/>
                    <w:right w:val="single" w:sz="4" w:space="0" w:color="auto"/>
                  </w:tcBorders>
                </w:tcPr>
                <w:p w14:paraId="18C98DAE" w14:textId="05827C4F"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074D06CF" w14:textId="77777777" w:rsidR="00950C5E" w:rsidRDefault="00950C5E" w:rsidP="00950C5E">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125 hours</w:t>
                  </w:r>
                </w:p>
              </w:tc>
            </w:tr>
          </w:tbl>
          <w:p w14:paraId="0A7F89AE" w14:textId="77777777" w:rsidR="00B14B74" w:rsidRPr="00AF5611" w:rsidRDefault="00B14B74" w:rsidP="0001411A">
            <w:pPr>
              <w:rPr>
                <w:rFonts w:ascii="Tahoma" w:hAnsi="Tahoma" w:cs="Tahoma"/>
                <w:color w:val="1F497D" w:themeColor="text2"/>
              </w:rPr>
            </w:pPr>
          </w:p>
        </w:tc>
      </w:tr>
      <w:tr w:rsidR="00B14B74" w:rsidRPr="00FA0277" w14:paraId="5FA4ABFE" w14:textId="77777777" w:rsidTr="0001411A">
        <w:tc>
          <w:tcPr>
            <w:tcW w:w="3306" w:type="dxa"/>
          </w:tcPr>
          <w:p w14:paraId="54C0C970"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 xml:space="preserve">STUDENT ASSESSMENT </w:t>
            </w:r>
          </w:p>
          <w:p w14:paraId="02FCBF0F"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Description of the evaluation process</w:t>
            </w:r>
          </w:p>
          <w:p w14:paraId="353A4F1C" w14:textId="77777777" w:rsidR="00B14B74" w:rsidRPr="00950C5E" w:rsidRDefault="00B14B74" w:rsidP="0001411A">
            <w:pPr>
              <w:jc w:val="both"/>
              <w:rPr>
                <w:rFonts w:ascii="Calibri" w:hAnsi="Calibri" w:cs="Arial"/>
                <w:i/>
                <w:sz w:val="16"/>
                <w:szCs w:val="16"/>
              </w:rPr>
            </w:pPr>
          </w:p>
          <w:p w14:paraId="18F9A28B"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Language of Evaluation, Evaluation Methods, Formative or Inferential, Multiple Choice Test, Multiple Choice Test, Short Answer Questions, Test Development Questions, Problem Solving, Written Work, Report, Oral Examination, Oral Examination, Public Presentation, Laboratory Work, Clinical Examination of a Patient, Artistic Interpretation, Other</w:t>
            </w:r>
          </w:p>
          <w:p w14:paraId="3BDD6FE9" w14:textId="77777777" w:rsidR="00B14B74" w:rsidRPr="00950C5E" w:rsidRDefault="00B14B74" w:rsidP="0001411A">
            <w:pPr>
              <w:jc w:val="both"/>
              <w:rPr>
                <w:rFonts w:ascii="Calibri" w:hAnsi="Calibri" w:cs="Arial"/>
                <w:i/>
                <w:sz w:val="16"/>
                <w:szCs w:val="16"/>
              </w:rPr>
            </w:pPr>
          </w:p>
          <w:p w14:paraId="391B0713"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Explicitly identified assessment criteria are stated and if and where they are accessible to students.</w:t>
            </w:r>
          </w:p>
        </w:tc>
        <w:tc>
          <w:tcPr>
            <w:tcW w:w="5166" w:type="dxa"/>
          </w:tcPr>
          <w:p w14:paraId="053D1169"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Written exam at the end of the course and Semester Assignment during the semester.</w:t>
            </w:r>
          </w:p>
          <w:p w14:paraId="12D1A16B" w14:textId="77777777" w:rsidR="0032220C" w:rsidRPr="0032220C" w:rsidRDefault="0032220C" w:rsidP="0032220C">
            <w:pPr>
              <w:rPr>
                <w:rFonts w:ascii="Calibri" w:hAnsi="Calibri" w:cs="Arial"/>
                <w:color w:val="1F497D" w:themeColor="text2"/>
                <w:sz w:val="22"/>
                <w:szCs w:val="22"/>
              </w:rPr>
            </w:pPr>
          </w:p>
          <w:p w14:paraId="245F3A48" w14:textId="77777777" w:rsid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Examination</w:t>
            </w:r>
            <w:r w:rsidR="00046ACA">
              <w:rPr>
                <w:rFonts w:ascii="Calibri" w:hAnsi="Calibri" w:cs="Arial"/>
                <w:color w:val="1F497D" w:themeColor="text2"/>
                <w:sz w:val="22"/>
                <w:szCs w:val="22"/>
              </w:rPr>
              <w:t>:</w:t>
            </w:r>
          </w:p>
          <w:p w14:paraId="7D56CA85" w14:textId="3F5FE787" w:rsidR="00FC5151" w:rsidRP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 xml:space="preserve">Final Examination (all material): </w:t>
            </w:r>
            <w:r w:rsidR="00E44CC5">
              <w:rPr>
                <w:rFonts w:ascii="Calibri" w:hAnsi="Calibri" w:cs="Arial"/>
                <w:color w:val="1F497D" w:themeColor="text2"/>
                <w:sz w:val="22"/>
                <w:szCs w:val="22"/>
              </w:rPr>
              <w:t>70</w:t>
            </w:r>
            <w:r w:rsidRPr="00046ACA">
              <w:rPr>
                <w:rFonts w:ascii="Calibri" w:hAnsi="Calibri" w:cs="Arial"/>
                <w:color w:val="1F497D" w:themeColor="text2"/>
                <w:sz w:val="22"/>
                <w:szCs w:val="22"/>
              </w:rPr>
              <w:t>%</w:t>
            </w:r>
          </w:p>
          <w:p w14:paraId="05A440CA" w14:textId="0D4ED889" w:rsidR="00FC5151" w:rsidRPr="00046ACA" w:rsidRDefault="00FC5151" w:rsidP="00FC5151">
            <w:pPr>
              <w:rPr>
                <w:rFonts w:ascii="Calibri" w:hAnsi="Calibri" w:cs="Arial"/>
                <w:color w:val="1F497D" w:themeColor="text2"/>
                <w:sz w:val="22"/>
                <w:szCs w:val="22"/>
              </w:rPr>
            </w:pPr>
            <w:r w:rsidRPr="00046ACA">
              <w:rPr>
                <w:rFonts w:ascii="Calibri" w:hAnsi="Calibri" w:cs="Arial"/>
                <w:color w:val="1F497D" w:themeColor="text2"/>
                <w:sz w:val="22"/>
                <w:szCs w:val="22"/>
              </w:rPr>
              <w:t>Assignment:</w:t>
            </w:r>
            <w:r w:rsidR="00CD2727">
              <w:rPr>
                <w:rFonts w:ascii="Calibri" w:hAnsi="Calibri" w:cs="Arial"/>
                <w:color w:val="1F497D" w:themeColor="text2"/>
                <w:sz w:val="22"/>
                <w:szCs w:val="22"/>
              </w:rPr>
              <w:t xml:space="preserve"> 3</w:t>
            </w:r>
            <w:r w:rsidRPr="00046ACA">
              <w:rPr>
                <w:rFonts w:ascii="Calibri" w:hAnsi="Calibri" w:cs="Arial"/>
                <w:color w:val="1F497D" w:themeColor="text2"/>
                <w:sz w:val="22"/>
                <w:szCs w:val="22"/>
              </w:rPr>
              <w:t>0%</w:t>
            </w:r>
          </w:p>
          <w:p w14:paraId="76F8F49D" w14:textId="5761FA33" w:rsidR="00B14B74" w:rsidRPr="00950C5E" w:rsidRDefault="00FC5151" w:rsidP="00FC5151">
            <w:pPr>
              <w:rPr>
                <w:rFonts w:ascii="Calibri" w:hAnsi="Calibri" w:cs="Arial"/>
                <w:color w:val="1F497D" w:themeColor="text2"/>
              </w:rPr>
            </w:pPr>
            <w:r w:rsidRPr="00FC5151">
              <w:rPr>
                <w:rFonts w:ascii="Calibri" w:hAnsi="Calibri" w:cs="Arial"/>
                <w:color w:val="1F497D" w:themeColor="text2"/>
              </w:rPr>
              <w:tab/>
            </w:r>
          </w:p>
          <w:p w14:paraId="47CD211F" w14:textId="77777777" w:rsidR="00B14B74" w:rsidRPr="00950C5E" w:rsidRDefault="00B14B74" w:rsidP="0001411A">
            <w:pPr>
              <w:rPr>
                <w:rFonts w:ascii="Calibri" w:hAnsi="Calibri" w:cs="Arial"/>
                <w:color w:val="1F497D" w:themeColor="text2"/>
              </w:rPr>
            </w:pPr>
          </w:p>
          <w:p w14:paraId="237C864B" w14:textId="77777777" w:rsidR="00B14B74" w:rsidRPr="00950C5E" w:rsidRDefault="00B14B74" w:rsidP="0001411A">
            <w:pPr>
              <w:rPr>
                <w:rFonts w:ascii="Calibri" w:hAnsi="Calibri" w:cs="Arial"/>
                <w:color w:val="1F497D" w:themeColor="text2"/>
              </w:rPr>
            </w:pPr>
          </w:p>
          <w:p w14:paraId="7B38B187" w14:textId="77777777" w:rsidR="00B14B74" w:rsidRPr="00950C5E" w:rsidRDefault="00B14B74" w:rsidP="0001411A">
            <w:pPr>
              <w:rPr>
                <w:rFonts w:ascii="Calibri" w:hAnsi="Calibri" w:cs="Arial"/>
                <w:color w:val="1F497D" w:themeColor="text2"/>
              </w:rPr>
            </w:pPr>
          </w:p>
          <w:p w14:paraId="48FF706B" w14:textId="77777777" w:rsidR="00B14B74" w:rsidRPr="00950C5E" w:rsidRDefault="00B14B74" w:rsidP="0001411A">
            <w:pPr>
              <w:rPr>
                <w:rFonts w:ascii="Calibri" w:hAnsi="Calibri" w:cs="Arial"/>
                <w:color w:val="1F497D" w:themeColor="text2"/>
              </w:rPr>
            </w:pPr>
          </w:p>
          <w:p w14:paraId="0A8893C3" w14:textId="77777777" w:rsidR="00B14B74" w:rsidRPr="00950C5E" w:rsidRDefault="00B14B74" w:rsidP="0001411A">
            <w:pPr>
              <w:rPr>
                <w:rFonts w:ascii="Calibri" w:hAnsi="Calibri" w:cs="Arial"/>
                <w:color w:val="1F497D" w:themeColor="text2"/>
              </w:rPr>
            </w:pPr>
          </w:p>
          <w:p w14:paraId="34995FFB" w14:textId="77777777" w:rsidR="00B14B74" w:rsidRPr="00950C5E" w:rsidRDefault="00B14B74" w:rsidP="0001411A">
            <w:pPr>
              <w:rPr>
                <w:rFonts w:ascii="Calibri" w:hAnsi="Calibri" w:cs="Arial"/>
                <w:color w:val="1F497D" w:themeColor="text2"/>
              </w:rPr>
            </w:pPr>
          </w:p>
          <w:p w14:paraId="7B03E63D" w14:textId="77777777" w:rsidR="00B14B74" w:rsidRPr="00950C5E" w:rsidRDefault="00B14B74" w:rsidP="0001411A">
            <w:pPr>
              <w:rPr>
                <w:rFonts w:ascii="Calibri" w:hAnsi="Calibri" w:cs="Arial"/>
                <w:color w:val="1F497D" w:themeColor="text2"/>
              </w:rPr>
            </w:pPr>
          </w:p>
        </w:tc>
      </w:tr>
    </w:tbl>
    <w:p w14:paraId="4B671699" w14:textId="77777777" w:rsidR="00A41B52" w:rsidRDefault="0032220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1F3206" w14:textId="77777777" w:rsidTr="0001411A">
        <w:tc>
          <w:tcPr>
            <w:tcW w:w="8472" w:type="dxa"/>
          </w:tcPr>
          <w:p w14:paraId="4CDAD7EE" w14:textId="77777777" w:rsidR="00A41B52" w:rsidRDefault="0032220C">
            <w:pPr>
              <w:jc w:val="both"/>
              <w:rPr>
                <w:rFonts w:asciiTheme="minorHAnsi" w:hAnsiTheme="minorHAnsi" w:cstheme="minorHAnsi"/>
                <w:b/>
                <w:color w:val="1F497D" w:themeColor="text2"/>
                <w:sz w:val="20"/>
                <w:szCs w:val="20"/>
                <w:u w:val="single"/>
                <w:lang w:val="el-GR"/>
              </w:rPr>
            </w:pPr>
            <w:r w:rsidRPr="00AF5611">
              <w:rPr>
                <w:rFonts w:asciiTheme="minorHAnsi" w:hAnsiTheme="minorHAnsi" w:cstheme="minorHAnsi"/>
                <w:b/>
                <w:color w:val="1F497D" w:themeColor="text2"/>
                <w:sz w:val="20"/>
                <w:szCs w:val="20"/>
                <w:u w:val="single"/>
                <w:lang w:val="el-GR"/>
              </w:rPr>
              <w:t>Basic textbooks:</w:t>
            </w:r>
          </w:p>
          <w:p w14:paraId="15F96203" w14:textId="26A8A226" w:rsidR="00CD2727" w:rsidRPr="00CD2727" w:rsidRDefault="00CD2727" w:rsidP="00CD2727">
            <w:pPr>
              <w:pStyle w:val="a4"/>
              <w:numPr>
                <w:ilvl w:val="0"/>
                <w:numId w:val="5"/>
              </w:numPr>
              <w:jc w:val="both"/>
              <w:rPr>
                <w:rFonts w:asciiTheme="minorHAnsi" w:hAnsiTheme="minorHAnsi" w:cstheme="minorHAnsi"/>
                <w:color w:val="1F497D" w:themeColor="text2"/>
                <w:sz w:val="20"/>
                <w:szCs w:val="20"/>
              </w:rPr>
            </w:pPr>
            <w:r w:rsidRPr="00CD2727">
              <w:rPr>
                <w:rFonts w:asciiTheme="minorHAnsi" w:hAnsiTheme="minorHAnsi" w:cstheme="minorHAnsi"/>
                <w:color w:val="1F497D" w:themeColor="text2"/>
                <w:sz w:val="20"/>
                <w:szCs w:val="20"/>
              </w:rPr>
              <w:lastRenderedPageBreak/>
              <w:t>Arvanitidis, P., (2005). "The functioning of the real estate market through the prism of genuine institutional economics: a theoretical approach", Aichoros, issue 6, p. 46-69</w:t>
            </w:r>
          </w:p>
          <w:p w14:paraId="1B31C2AB" w14:textId="67C4D0C9" w:rsidR="00CD2727" w:rsidRPr="00CD2727" w:rsidRDefault="00CD2727" w:rsidP="00CD2727">
            <w:pPr>
              <w:pStyle w:val="a4"/>
              <w:numPr>
                <w:ilvl w:val="0"/>
                <w:numId w:val="5"/>
              </w:numPr>
              <w:jc w:val="both"/>
              <w:rPr>
                <w:rFonts w:asciiTheme="minorHAnsi" w:hAnsiTheme="minorHAnsi" w:cstheme="minorHAnsi"/>
                <w:color w:val="1F497D" w:themeColor="text2"/>
                <w:sz w:val="20"/>
                <w:szCs w:val="20"/>
              </w:rPr>
            </w:pPr>
            <w:r w:rsidRPr="00CD2727">
              <w:rPr>
                <w:rFonts w:asciiTheme="minorHAnsi" w:hAnsiTheme="minorHAnsi" w:cstheme="minorHAnsi"/>
                <w:color w:val="1F497D" w:themeColor="text2"/>
                <w:sz w:val="20"/>
                <w:szCs w:val="20"/>
              </w:rPr>
              <w:t>Zentelis P, 2015, Real Estate, Value, Valuation, Development, Investment, Management, Hellenic Academic Electronic Textbooks and Aids. Available online: http://hdl.handle.net/11419/4235</w:t>
            </w:r>
          </w:p>
          <w:p w14:paraId="5F05C8BA" w14:textId="55FB4031" w:rsidR="00CD2727" w:rsidRPr="00CD2727" w:rsidRDefault="00CD2727" w:rsidP="00CD2727">
            <w:pPr>
              <w:pStyle w:val="a4"/>
              <w:numPr>
                <w:ilvl w:val="0"/>
                <w:numId w:val="5"/>
              </w:numPr>
              <w:jc w:val="both"/>
              <w:rPr>
                <w:rFonts w:asciiTheme="minorHAnsi" w:hAnsiTheme="minorHAnsi" w:cstheme="minorHAnsi"/>
                <w:color w:val="1F497D" w:themeColor="text2"/>
                <w:sz w:val="20"/>
                <w:szCs w:val="20"/>
              </w:rPr>
            </w:pPr>
            <w:r w:rsidRPr="00CD2727">
              <w:rPr>
                <w:rFonts w:asciiTheme="minorHAnsi" w:hAnsiTheme="minorHAnsi" w:cstheme="minorHAnsi"/>
                <w:color w:val="1F497D" w:themeColor="text2"/>
                <w:sz w:val="20"/>
                <w:szCs w:val="20"/>
              </w:rPr>
              <w:t>Kiochos P. (2010), Introduction to Real Estate Valuation and methods of valuation of real estate, Kiochos Elena Publications</w:t>
            </w:r>
          </w:p>
          <w:p w14:paraId="7BF260A8" w14:textId="24ED5415" w:rsidR="00CD2727" w:rsidRPr="00CD2727" w:rsidRDefault="00CD2727" w:rsidP="00CD2727">
            <w:pPr>
              <w:pStyle w:val="a4"/>
              <w:numPr>
                <w:ilvl w:val="0"/>
                <w:numId w:val="5"/>
              </w:numPr>
              <w:jc w:val="both"/>
              <w:rPr>
                <w:rFonts w:asciiTheme="minorHAnsi" w:hAnsiTheme="minorHAnsi" w:cstheme="minorHAnsi"/>
                <w:color w:val="1F497D" w:themeColor="text2"/>
                <w:sz w:val="20"/>
                <w:szCs w:val="20"/>
              </w:rPr>
            </w:pPr>
            <w:r w:rsidRPr="00CD2727">
              <w:rPr>
                <w:rFonts w:asciiTheme="minorHAnsi" w:hAnsiTheme="minorHAnsi" w:cstheme="minorHAnsi"/>
                <w:color w:val="1F497D" w:themeColor="text2"/>
                <w:sz w:val="20"/>
                <w:szCs w:val="20"/>
              </w:rPr>
              <w:t>Triantafylopoulos N., (2011), The new "privileged" relations of the real estate market with urban development and urban planning. Aichoros, issue 15, p. 152-181</w:t>
            </w:r>
          </w:p>
          <w:p w14:paraId="1C730C1D" w14:textId="2B74E5B5" w:rsidR="00CD2727" w:rsidRPr="00CD2727" w:rsidRDefault="00CD2727" w:rsidP="00CD2727">
            <w:pPr>
              <w:pStyle w:val="a4"/>
              <w:numPr>
                <w:ilvl w:val="0"/>
                <w:numId w:val="5"/>
              </w:numPr>
              <w:jc w:val="both"/>
              <w:rPr>
                <w:rFonts w:asciiTheme="minorHAnsi" w:hAnsiTheme="minorHAnsi" w:cstheme="minorHAnsi"/>
                <w:color w:val="1F497D" w:themeColor="text2"/>
                <w:sz w:val="20"/>
                <w:szCs w:val="20"/>
              </w:rPr>
            </w:pPr>
            <w:r w:rsidRPr="00CD2727">
              <w:rPr>
                <w:rFonts w:asciiTheme="minorHAnsi" w:hAnsiTheme="minorHAnsi" w:cstheme="minorHAnsi"/>
                <w:color w:val="1F497D" w:themeColor="text2"/>
                <w:sz w:val="20"/>
                <w:szCs w:val="20"/>
              </w:rPr>
              <w:t>Chardouvelis G. (2009). The importance of the housing market in the economy. Bank of Greece conference entitled "Real estate market: recent developments and prospects", Athens, 29 April.</w:t>
            </w:r>
          </w:p>
          <w:p w14:paraId="775A76CF" w14:textId="2AB20659" w:rsidR="00CD2727" w:rsidRDefault="00CD2727" w:rsidP="00CD2727">
            <w:pPr>
              <w:numPr>
                <w:ilvl w:val="0"/>
                <w:numId w:val="5"/>
              </w:numPr>
              <w:jc w:val="both"/>
              <w:rPr>
                <w:rFonts w:asciiTheme="minorHAnsi" w:hAnsiTheme="minorHAnsi" w:cstheme="minorHAnsi"/>
                <w:color w:val="1F497D" w:themeColor="text2"/>
                <w:sz w:val="20"/>
                <w:szCs w:val="20"/>
              </w:rPr>
            </w:pPr>
            <w:r w:rsidRPr="00CD2727">
              <w:rPr>
                <w:rFonts w:asciiTheme="minorHAnsi" w:hAnsiTheme="minorHAnsi" w:cstheme="minorHAnsi"/>
                <w:color w:val="1F497D" w:themeColor="text2"/>
                <w:sz w:val="20"/>
                <w:szCs w:val="20"/>
              </w:rPr>
              <w:t>Triantafylopoulos N., Kandylla Th., (2010), The behaviour of home buyers during the period 2004-2007, Aichoros, issue 13, p. 94-117</w:t>
            </w:r>
          </w:p>
          <w:p w14:paraId="3FA48C71" w14:textId="77777777" w:rsidR="00CD2727" w:rsidRPr="002A5F90" w:rsidRDefault="00CD2727" w:rsidP="00CD2727">
            <w:pPr>
              <w:jc w:val="both"/>
              <w:rPr>
                <w:rFonts w:asciiTheme="minorHAnsi" w:hAnsiTheme="minorHAnsi" w:cstheme="minorHAnsi"/>
                <w:b/>
                <w:color w:val="1F497D" w:themeColor="text2"/>
                <w:sz w:val="20"/>
                <w:szCs w:val="20"/>
                <w:u w:val="single"/>
              </w:rPr>
            </w:pPr>
          </w:p>
          <w:p w14:paraId="27E91A97" w14:textId="0AAA3AF5" w:rsidR="00CD2727" w:rsidRPr="00CD2727" w:rsidRDefault="00CD2727" w:rsidP="00CD2727">
            <w:pPr>
              <w:jc w:val="both"/>
              <w:rPr>
                <w:rFonts w:asciiTheme="minorHAnsi" w:hAnsiTheme="minorHAnsi" w:cstheme="minorHAnsi"/>
                <w:b/>
                <w:color w:val="1F497D" w:themeColor="text2"/>
                <w:sz w:val="20"/>
                <w:szCs w:val="20"/>
                <w:u w:val="single"/>
                <w:lang w:val="el-GR"/>
              </w:rPr>
            </w:pPr>
            <w:r>
              <w:rPr>
                <w:rFonts w:asciiTheme="minorHAnsi" w:hAnsiTheme="minorHAnsi" w:cstheme="minorHAnsi"/>
                <w:b/>
                <w:color w:val="1F497D" w:themeColor="text2"/>
                <w:sz w:val="20"/>
                <w:szCs w:val="20"/>
                <w:u w:val="single"/>
                <w:lang w:val="el-GR"/>
              </w:rPr>
              <w:t>Supplementary text</w:t>
            </w:r>
            <w:r w:rsidRPr="00CD2727">
              <w:rPr>
                <w:rFonts w:asciiTheme="minorHAnsi" w:hAnsiTheme="minorHAnsi" w:cstheme="minorHAnsi"/>
                <w:b/>
                <w:color w:val="1F497D" w:themeColor="text2"/>
                <w:sz w:val="20"/>
                <w:szCs w:val="20"/>
                <w:u w:val="single"/>
                <w:lang w:val="el-GR"/>
              </w:rPr>
              <w:t>books</w:t>
            </w:r>
          </w:p>
          <w:p w14:paraId="04DF48B3"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Benos, N., S. Karagiannis and P. Vlamis (2011), ‘‘Spatial Effects of the Property Sector Investment on Greek Economic Growth’’, Journal of Property Investment and Finance, Vol. 29, No. 3, 233-50.</w:t>
            </w:r>
          </w:p>
          <w:p w14:paraId="04F4B15B"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Berry J., McGreal S and Deddis B. (1993) Urban regeneration. Taylor and Francis</w:t>
            </w:r>
          </w:p>
          <w:p w14:paraId="3A44979F"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DiPasquale D., &amp; Wheaton W. (1992), The Markets for Real Estate Assets and Space: A Conceptual Framework, Journal of the American Real Estate and Urban Economics Association, Vol. 20, No. 1, pp. 181-197</w:t>
            </w:r>
          </w:p>
          <w:p w14:paraId="74798500"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DiPasquale, D., &amp; Wheaton, W. (1996). Urban Economics and Real Estate Markets (1st ed.). Englewood Cliffs, New Jersey: Prentice-Hall.</w:t>
            </w:r>
          </w:p>
          <w:p w14:paraId="74F053D2"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Geltner DM, Miller NG, Clayton J, Eichholtz P (2007) Commercial real estate analysis and investments, 2nd edn. Thomson South-Western Publishing, Mason</w:t>
            </w:r>
          </w:p>
          <w:p w14:paraId="42CCA530"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Κaradimitriou Ν. (2013) Planning policy, sustainability and housebuilder practices: The move into (and out of?) the redevelopment of previously developed land, Progress in Planning, Vol. 82, pp. 1-41</w:t>
            </w:r>
          </w:p>
          <w:p w14:paraId="3FE9ECB1"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Lambiri, D., &amp; Rovolis, A. (2014). Real Estate and Housing Markets. In M. M. Fischer &amp; P. Nijkamp (Eds.), Handbook of Regional Science. New, York, NY, USA: Springer.</w:t>
            </w:r>
          </w:p>
          <w:p w14:paraId="0C2A1C5E" w14:textId="77777777" w:rsidR="00CD2727" w:rsidRPr="005B35E9" w:rsidRDefault="00CD2727" w:rsidP="00CD2727">
            <w:pPr>
              <w:pStyle w:val="a4"/>
              <w:numPr>
                <w:ilvl w:val="0"/>
                <w:numId w:val="7"/>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Tiwari P. &amp; White M. (2014). Real Estate Finance in the New Economy. First Edition. John Wiley &amp; Sons, Ltd.</w:t>
            </w:r>
          </w:p>
          <w:p w14:paraId="10A77FD2" w14:textId="77777777" w:rsidR="00CD2727" w:rsidRPr="00CD2727" w:rsidRDefault="00CD2727" w:rsidP="00CD2727">
            <w:pPr>
              <w:jc w:val="both"/>
              <w:rPr>
                <w:rFonts w:asciiTheme="minorHAnsi" w:hAnsiTheme="minorHAnsi" w:cstheme="minorHAnsi"/>
                <w:color w:val="1F497D" w:themeColor="text2"/>
                <w:sz w:val="20"/>
                <w:szCs w:val="20"/>
              </w:rPr>
            </w:pPr>
          </w:p>
          <w:p w14:paraId="696C0FCE" w14:textId="0D8137DB" w:rsidR="00046ACA" w:rsidRPr="00046ACA" w:rsidRDefault="00CD2727" w:rsidP="00046ACA">
            <w:pPr>
              <w:jc w:val="both"/>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Related </w:t>
            </w:r>
            <w:r w:rsidR="00046ACA" w:rsidRPr="00046ACA">
              <w:rPr>
                <w:rFonts w:asciiTheme="minorHAnsi" w:hAnsiTheme="minorHAnsi" w:cstheme="minorHAnsi"/>
                <w:color w:val="1F497D" w:themeColor="text2"/>
                <w:sz w:val="20"/>
                <w:szCs w:val="20"/>
              </w:rPr>
              <w:t>Journals</w:t>
            </w:r>
          </w:p>
          <w:p w14:paraId="643A280C" w14:textId="664AD87B" w:rsidR="00A41B52" w:rsidRPr="00046ACA" w:rsidRDefault="00CD2727" w:rsidP="00046ACA">
            <w:pPr>
              <w:ind w:left="1080"/>
              <w:jc w:val="both"/>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Aeihoros</w:t>
            </w:r>
          </w:p>
        </w:tc>
      </w:tr>
    </w:tbl>
    <w:p w14:paraId="15CEC59B" w14:textId="77777777" w:rsidR="00B14B74" w:rsidRDefault="00B14B74"/>
    <w:sectPr w:rsidR="00B14B74" w:rsidSect="00830F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6BC"/>
    <w:multiLevelType w:val="hybridMultilevel"/>
    <w:tmpl w:val="1DC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6AC453B"/>
    <w:multiLevelType w:val="hybridMultilevel"/>
    <w:tmpl w:val="630638CC"/>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BAD3DCA"/>
    <w:multiLevelType w:val="hybridMultilevel"/>
    <w:tmpl w:val="81B808A6"/>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4DE16747"/>
    <w:multiLevelType w:val="hybridMultilevel"/>
    <w:tmpl w:val="DB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F264B6B"/>
    <w:multiLevelType w:val="hybridMultilevel"/>
    <w:tmpl w:val="38A2E6AE"/>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050"/>
    <w:rsid w:val="00012ECD"/>
    <w:rsid w:val="0001411A"/>
    <w:rsid w:val="000144A4"/>
    <w:rsid w:val="00031690"/>
    <w:rsid w:val="00046ACA"/>
    <w:rsid w:val="00050ACA"/>
    <w:rsid w:val="0007349D"/>
    <w:rsid w:val="000777B8"/>
    <w:rsid w:val="00081AA8"/>
    <w:rsid w:val="00090C58"/>
    <w:rsid w:val="000A3F30"/>
    <w:rsid w:val="001002FD"/>
    <w:rsid w:val="00100E1C"/>
    <w:rsid w:val="00102F02"/>
    <w:rsid w:val="00142A96"/>
    <w:rsid w:val="00163B7D"/>
    <w:rsid w:val="001836E0"/>
    <w:rsid w:val="00191587"/>
    <w:rsid w:val="0019189D"/>
    <w:rsid w:val="001C6E97"/>
    <w:rsid w:val="001D5DD3"/>
    <w:rsid w:val="001E2C4A"/>
    <w:rsid w:val="001F2A1C"/>
    <w:rsid w:val="002079D8"/>
    <w:rsid w:val="00244813"/>
    <w:rsid w:val="0025358F"/>
    <w:rsid w:val="00290C68"/>
    <w:rsid w:val="00290D59"/>
    <w:rsid w:val="002A5F90"/>
    <w:rsid w:val="002B7317"/>
    <w:rsid w:val="002D53A8"/>
    <w:rsid w:val="00313B49"/>
    <w:rsid w:val="0032220C"/>
    <w:rsid w:val="003278F4"/>
    <w:rsid w:val="0034617D"/>
    <w:rsid w:val="003556AC"/>
    <w:rsid w:val="0039409E"/>
    <w:rsid w:val="00394BBC"/>
    <w:rsid w:val="003A7E48"/>
    <w:rsid w:val="003B12F5"/>
    <w:rsid w:val="003C7E34"/>
    <w:rsid w:val="003D14C0"/>
    <w:rsid w:val="003E3E41"/>
    <w:rsid w:val="003F0F3D"/>
    <w:rsid w:val="003F773B"/>
    <w:rsid w:val="004074C4"/>
    <w:rsid w:val="00411CFE"/>
    <w:rsid w:val="00412D1F"/>
    <w:rsid w:val="00412EBF"/>
    <w:rsid w:val="00413211"/>
    <w:rsid w:val="004226CA"/>
    <w:rsid w:val="004464AE"/>
    <w:rsid w:val="0045446E"/>
    <w:rsid w:val="00457A8E"/>
    <w:rsid w:val="00461577"/>
    <w:rsid w:val="00481895"/>
    <w:rsid w:val="004917BD"/>
    <w:rsid w:val="0049454B"/>
    <w:rsid w:val="004C2B2E"/>
    <w:rsid w:val="004C66B8"/>
    <w:rsid w:val="004D2719"/>
    <w:rsid w:val="004E2C8A"/>
    <w:rsid w:val="004E6264"/>
    <w:rsid w:val="004F604B"/>
    <w:rsid w:val="00500D0A"/>
    <w:rsid w:val="005145E3"/>
    <w:rsid w:val="0051485C"/>
    <w:rsid w:val="0051583E"/>
    <w:rsid w:val="00570A34"/>
    <w:rsid w:val="00573F4B"/>
    <w:rsid w:val="00582856"/>
    <w:rsid w:val="005878BD"/>
    <w:rsid w:val="00591D99"/>
    <w:rsid w:val="005A529B"/>
    <w:rsid w:val="005A5792"/>
    <w:rsid w:val="005D685A"/>
    <w:rsid w:val="005E5367"/>
    <w:rsid w:val="00612201"/>
    <w:rsid w:val="00625545"/>
    <w:rsid w:val="006543D8"/>
    <w:rsid w:val="006631DB"/>
    <w:rsid w:val="00670D50"/>
    <w:rsid w:val="00671662"/>
    <w:rsid w:val="006835E3"/>
    <w:rsid w:val="006B163E"/>
    <w:rsid w:val="006E1759"/>
    <w:rsid w:val="006F163D"/>
    <w:rsid w:val="00705AAD"/>
    <w:rsid w:val="00730C79"/>
    <w:rsid w:val="007436C5"/>
    <w:rsid w:val="00746551"/>
    <w:rsid w:val="007A44C5"/>
    <w:rsid w:val="007C1D39"/>
    <w:rsid w:val="0082610C"/>
    <w:rsid w:val="00830F7E"/>
    <w:rsid w:val="00845FDA"/>
    <w:rsid w:val="00874D75"/>
    <w:rsid w:val="0088214C"/>
    <w:rsid w:val="00887EAB"/>
    <w:rsid w:val="00896F6C"/>
    <w:rsid w:val="008B1E7A"/>
    <w:rsid w:val="008B226D"/>
    <w:rsid w:val="008B7C46"/>
    <w:rsid w:val="008E7FDE"/>
    <w:rsid w:val="008F3269"/>
    <w:rsid w:val="0092704D"/>
    <w:rsid w:val="00927EF1"/>
    <w:rsid w:val="00950C5E"/>
    <w:rsid w:val="00961EBE"/>
    <w:rsid w:val="009B02ED"/>
    <w:rsid w:val="009B2960"/>
    <w:rsid w:val="009B7F11"/>
    <w:rsid w:val="009C120A"/>
    <w:rsid w:val="009D3D10"/>
    <w:rsid w:val="009D6A1C"/>
    <w:rsid w:val="009E7078"/>
    <w:rsid w:val="009E7285"/>
    <w:rsid w:val="00A11609"/>
    <w:rsid w:val="00A3271D"/>
    <w:rsid w:val="00A41B52"/>
    <w:rsid w:val="00A62235"/>
    <w:rsid w:val="00A628DE"/>
    <w:rsid w:val="00A74371"/>
    <w:rsid w:val="00AA0E16"/>
    <w:rsid w:val="00AD7020"/>
    <w:rsid w:val="00AE3E58"/>
    <w:rsid w:val="00AE3EC2"/>
    <w:rsid w:val="00AF5611"/>
    <w:rsid w:val="00AF7612"/>
    <w:rsid w:val="00B044D7"/>
    <w:rsid w:val="00B04E23"/>
    <w:rsid w:val="00B132A2"/>
    <w:rsid w:val="00B1379A"/>
    <w:rsid w:val="00B14B74"/>
    <w:rsid w:val="00B619AF"/>
    <w:rsid w:val="00B806A3"/>
    <w:rsid w:val="00B827B5"/>
    <w:rsid w:val="00B9124C"/>
    <w:rsid w:val="00B92500"/>
    <w:rsid w:val="00BA351F"/>
    <w:rsid w:val="00BB2AE4"/>
    <w:rsid w:val="00BB7642"/>
    <w:rsid w:val="00BD2A53"/>
    <w:rsid w:val="00BE3AFD"/>
    <w:rsid w:val="00C1421F"/>
    <w:rsid w:val="00C21EC8"/>
    <w:rsid w:val="00C44467"/>
    <w:rsid w:val="00C553F1"/>
    <w:rsid w:val="00C5633C"/>
    <w:rsid w:val="00C65625"/>
    <w:rsid w:val="00C976B6"/>
    <w:rsid w:val="00CA3DFB"/>
    <w:rsid w:val="00CA6405"/>
    <w:rsid w:val="00CC4E2A"/>
    <w:rsid w:val="00CC4FC0"/>
    <w:rsid w:val="00CD2727"/>
    <w:rsid w:val="00CE344F"/>
    <w:rsid w:val="00D40F21"/>
    <w:rsid w:val="00D43052"/>
    <w:rsid w:val="00D437A2"/>
    <w:rsid w:val="00D63459"/>
    <w:rsid w:val="00D91AD2"/>
    <w:rsid w:val="00DF1260"/>
    <w:rsid w:val="00E16D61"/>
    <w:rsid w:val="00E26915"/>
    <w:rsid w:val="00E44CC5"/>
    <w:rsid w:val="00E64175"/>
    <w:rsid w:val="00E7096A"/>
    <w:rsid w:val="00E718C8"/>
    <w:rsid w:val="00E81E14"/>
    <w:rsid w:val="00EA1C56"/>
    <w:rsid w:val="00EA749C"/>
    <w:rsid w:val="00ED7608"/>
    <w:rsid w:val="00F259DF"/>
    <w:rsid w:val="00F30539"/>
    <w:rsid w:val="00F30DBA"/>
    <w:rsid w:val="00F40E0F"/>
    <w:rsid w:val="00F5310B"/>
    <w:rsid w:val="00F563E5"/>
    <w:rsid w:val="00F72B38"/>
    <w:rsid w:val="00FA0277"/>
    <w:rsid w:val="00FB12EA"/>
    <w:rsid w:val="00FB70F4"/>
    <w:rsid w:val="00FC4272"/>
    <w:rsid w:val="00FC49AA"/>
    <w:rsid w:val="00FC5151"/>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A7327"/>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5475">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7D69B5-74E9-41ED-B638-9D49923C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1370</Words>
  <Characters>7469</Characters>
  <Application>Microsoft Office Word</Application>
  <DocSecurity>0</DocSecurity>
  <Lines>276</Lines>
  <Paragraphs>180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keywords>, docId:CE51B9D8DDE8D9AFD0707D43DA55DD06</cp:keywords>
  <cp:lastModifiedBy>Mitropoulos Panagiotis</cp:lastModifiedBy>
  <cp:revision>5</cp:revision>
  <dcterms:created xsi:type="dcterms:W3CDTF">2024-04-26T14:14:00Z</dcterms:created>
  <dcterms:modified xsi:type="dcterms:W3CDTF">2024-05-08T15:00:00Z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