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A8" w:rsidRDefault="006B076D">
      <w:pPr>
        <w:pStyle w:val="10"/>
        <w:keepNext/>
        <w:keepLines/>
        <w:shd w:val="clear" w:color="auto" w:fill="auto"/>
      </w:pPr>
      <w:bookmarkStart w:id="0" w:name="bookmark0"/>
      <w:bookmarkStart w:id="1" w:name="bookmark1"/>
      <w:r>
        <w:t>COURSE OUTLINE</w:t>
      </w:r>
      <w:bookmarkEnd w:id="0"/>
      <w:bookmarkEnd w:id="1"/>
    </w:p>
    <w:p w:rsidR="00E14EA8" w:rsidRDefault="006B076D">
      <w:pPr>
        <w:pStyle w:val="a4"/>
        <w:shd w:val="clear" w:color="auto" w:fill="auto"/>
        <w:ind w:left="82"/>
      </w:pPr>
      <w:r>
        <w:t>1. GENERAL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88"/>
        <w:gridCol w:w="2328"/>
        <w:gridCol w:w="1536"/>
        <w:gridCol w:w="2237"/>
      </w:tblGrid>
      <w:tr w:rsidR="00E14EA8">
        <w:trPr>
          <w:trHeight w:hRule="exact" w:val="307"/>
          <w:jc w:val="center"/>
        </w:trPr>
        <w:tc>
          <w:tcPr>
            <w:tcW w:w="2688"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right"/>
            </w:pPr>
            <w:r>
              <w:rPr>
                <w:b/>
                <w:bCs/>
              </w:rPr>
              <w:t>SCHOOL</w:t>
            </w:r>
          </w:p>
        </w:tc>
        <w:tc>
          <w:tcPr>
            <w:tcW w:w="6101" w:type="dxa"/>
            <w:gridSpan w:val="3"/>
            <w:tcBorders>
              <w:top w:val="single" w:sz="4" w:space="0" w:color="auto"/>
              <w:left w:val="single" w:sz="4" w:space="0" w:color="auto"/>
              <w:right w:val="single" w:sz="4" w:space="0" w:color="auto"/>
            </w:tcBorders>
            <w:shd w:val="clear" w:color="auto" w:fill="FFFFFF"/>
            <w:vAlign w:val="bottom"/>
          </w:tcPr>
          <w:p w:rsidR="00E14EA8" w:rsidRDefault="006B076D">
            <w:pPr>
              <w:pStyle w:val="a6"/>
              <w:shd w:val="clear" w:color="auto" w:fill="auto"/>
              <w:rPr>
                <w:sz w:val="24"/>
                <w:szCs w:val="24"/>
              </w:rPr>
            </w:pPr>
            <w:r>
              <w:rPr>
                <w:color w:val="002060"/>
                <w:sz w:val="24"/>
                <w:szCs w:val="24"/>
              </w:rPr>
              <w:t>Applied Economics and Social Sciences</w:t>
            </w:r>
          </w:p>
        </w:tc>
      </w:tr>
      <w:tr w:rsidR="00E14EA8">
        <w:trPr>
          <w:trHeight w:hRule="exact" w:val="278"/>
          <w:jc w:val="center"/>
        </w:trPr>
        <w:tc>
          <w:tcPr>
            <w:tcW w:w="2688"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right"/>
            </w:pPr>
            <w:r>
              <w:rPr>
                <w:b/>
                <w:bCs/>
              </w:rPr>
              <w:t>DEPARTMENT</w:t>
            </w:r>
          </w:p>
        </w:tc>
        <w:tc>
          <w:tcPr>
            <w:tcW w:w="6101" w:type="dxa"/>
            <w:gridSpan w:val="3"/>
            <w:tcBorders>
              <w:top w:val="single" w:sz="4" w:space="0" w:color="auto"/>
              <w:left w:val="single" w:sz="4" w:space="0" w:color="auto"/>
              <w:right w:val="single" w:sz="4" w:space="0" w:color="auto"/>
            </w:tcBorders>
            <w:shd w:val="clear" w:color="auto" w:fill="FFFFFF"/>
            <w:vAlign w:val="bottom"/>
          </w:tcPr>
          <w:p w:rsidR="00E14EA8" w:rsidRDefault="006B076D">
            <w:pPr>
              <w:pStyle w:val="a6"/>
              <w:shd w:val="clear" w:color="auto" w:fill="auto"/>
              <w:rPr>
                <w:sz w:val="22"/>
                <w:szCs w:val="22"/>
              </w:rPr>
            </w:pPr>
            <w:r>
              <w:rPr>
                <w:color w:val="002060"/>
                <w:sz w:val="22"/>
                <w:szCs w:val="22"/>
              </w:rPr>
              <w:t>Department of Regional and Economic Development</w:t>
            </w:r>
          </w:p>
        </w:tc>
      </w:tr>
      <w:tr w:rsidR="00E14EA8">
        <w:trPr>
          <w:trHeight w:hRule="exact" w:val="278"/>
          <w:jc w:val="center"/>
        </w:trPr>
        <w:tc>
          <w:tcPr>
            <w:tcW w:w="2688"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right"/>
            </w:pPr>
            <w:r>
              <w:rPr>
                <w:b/>
                <w:bCs/>
              </w:rPr>
              <w:t>COURSE LEVEL</w:t>
            </w:r>
          </w:p>
        </w:tc>
        <w:tc>
          <w:tcPr>
            <w:tcW w:w="6101" w:type="dxa"/>
            <w:gridSpan w:val="3"/>
            <w:tcBorders>
              <w:top w:val="single" w:sz="4" w:space="0" w:color="auto"/>
              <w:left w:val="single" w:sz="4" w:space="0" w:color="auto"/>
              <w:right w:val="single" w:sz="4" w:space="0" w:color="auto"/>
            </w:tcBorders>
            <w:shd w:val="clear" w:color="auto" w:fill="FFFFFF"/>
            <w:vAlign w:val="bottom"/>
          </w:tcPr>
          <w:p w:rsidR="00E14EA8" w:rsidRDefault="006B076D">
            <w:pPr>
              <w:pStyle w:val="a6"/>
              <w:shd w:val="clear" w:color="auto" w:fill="auto"/>
              <w:rPr>
                <w:sz w:val="22"/>
                <w:szCs w:val="22"/>
              </w:rPr>
            </w:pPr>
            <w:r>
              <w:rPr>
                <w:color w:val="002060"/>
                <w:sz w:val="22"/>
                <w:szCs w:val="22"/>
              </w:rPr>
              <w:t>Undergraduate</w:t>
            </w:r>
          </w:p>
        </w:tc>
      </w:tr>
      <w:tr w:rsidR="00E14EA8">
        <w:trPr>
          <w:trHeight w:hRule="exact" w:val="278"/>
          <w:jc w:val="center"/>
        </w:trPr>
        <w:tc>
          <w:tcPr>
            <w:tcW w:w="2688" w:type="dxa"/>
            <w:tcBorders>
              <w:top w:val="single" w:sz="4" w:space="0" w:color="auto"/>
              <w:left w:val="single" w:sz="4" w:space="0" w:color="auto"/>
            </w:tcBorders>
            <w:shd w:val="clear" w:color="auto" w:fill="DED9C3"/>
          </w:tcPr>
          <w:p w:rsidR="00E14EA8" w:rsidRDefault="006B076D">
            <w:pPr>
              <w:pStyle w:val="a6"/>
              <w:shd w:val="clear" w:color="auto" w:fill="auto"/>
              <w:jc w:val="right"/>
            </w:pPr>
            <w:r>
              <w:rPr>
                <w:b/>
                <w:bCs/>
              </w:rPr>
              <w:t>COURSE CODE</w:t>
            </w:r>
          </w:p>
        </w:tc>
        <w:tc>
          <w:tcPr>
            <w:tcW w:w="6101" w:type="dxa"/>
            <w:gridSpan w:val="3"/>
            <w:tcBorders>
              <w:top w:val="single" w:sz="4" w:space="0" w:color="auto"/>
              <w:left w:val="single" w:sz="4" w:space="0" w:color="auto"/>
              <w:right w:val="single" w:sz="4" w:space="0" w:color="auto"/>
            </w:tcBorders>
            <w:shd w:val="clear" w:color="auto" w:fill="FFFFFF"/>
          </w:tcPr>
          <w:p w:rsidR="00E14EA8" w:rsidRDefault="00AF5C83">
            <w:pPr>
              <w:pStyle w:val="a6"/>
              <w:shd w:val="clear" w:color="auto" w:fill="auto"/>
              <w:tabs>
                <w:tab w:val="left" w:pos="2366"/>
              </w:tabs>
              <w:rPr>
                <w:sz w:val="22"/>
                <w:szCs w:val="22"/>
              </w:rPr>
            </w:pPr>
            <w:r>
              <w:rPr>
                <w:color w:val="002060"/>
                <w:sz w:val="22"/>
                <w:szCs w:val="22"/>
                <w:lang w:val="el-GR"/>
              </w:rPr>
              <w:t xml:space="preserve"> </w:t>
            </w:r>
            <w:r w:rsidR="006B076D">
              <w:rPr>
                <w:color w:val="002060"/>
                <w:sz w:val="22"/>
                <w:szCs w:val="22"/>
              </w:rPr>
              <w:t>6736</w:t>
            </w:r>
            <w:r w:rsidR="006B076D">
              <w:rPr>
                <w:color w:val="002060"/>
                <w:sz w:val="22"/>
                <w:szCs w:val="22"/>
              </w:rPr>
              <w:tab/>
            </w:r>
            <w:r w:rsidR="006B076D">
              <w:rPr>
                <w:b/>
                <w:bCs/>
              </w:rPr>
              <w:t>SEMESTER</w:t>
            </w:r>
            <w:r w:rsidR="0067140C">
              <w:rPr>
                <w:b/>
                <w:bCs/>
                <w:lang w:val="el-GR"/>
              </w:rPr>
              <w:t xml:space="preserve"> </w:t>
            </w:r>
            <w:r w:rsidR="006B076D">
              <w:rPr>
                <w:b/>
                <w:bCs/>
              </w:rPr>
              <w:t xml:space="preserve"> </w:t>
            </w:r>
            <w:r w:rsidR="006B076D">
              <w:rPr>
                <w:color w:val="002060"/>
                <w:sz w:val="22"/>
                <w:szCs w:val="22"/>
              </w:rPr>
              <w:t>7</w:t>
            </w:r>
            <w:r w:rsidR="006B076D">
              <w:rPr>
                <w:color w:val="002060"/>
                <w:sz w:val="22"/>
                <w:szCs w:val="22"/>
                <w:vertAlign w:val="superscript"/>
              </w:rPr>
              <w:t>th</w:t>
            </w:r>
          </w:p>
        </w:tc>
      </w:tr>
      <w:tr w:rsidR="00E14EA8">
        <w:trPr>
          <w:trHeight w:hRule="exact" w:val="389"/>
          <w:jc w:val="center"/>
        </w:trPr>
        <w:tc>
          <w:tcPr>
            <w:tcW w:w="2688" w:type="dxa"/>
            <w:tcBorders>
              <w:top w:val="single" w:sz="4" w:space="0" w:color="auto"/>
              <w:left w:val="single" w:sz="4" w:space="0" w:color="auto"/>
            </w:tcBorders>
            <w:shd w:val="clear" w:color="auto" w:fill="DED9C3"/>
            <w:vAlign w:val="center"/>
          </w:tcPr>
          <w:p w:rsidR="00E14EA8" w:rsidRDefault="006B076D">
            <w:pPr>
              <w:pStyle w:val="a6"/>
              <w:shd w:val="clear" w:color="auto" w:fill="auto"/>
              <w:jc w:val="right"/>
            </w:pPr>
            <w:r>
              <w:rPr>
                <w:b/>
                <w:bCs/>
              </w:rPr>
              <w:t>COURSE TITLE</w:t>
            </w:r>
          </w:p>
        </w:tc>
        <w:tc>
          <w:tcPr>
            <w:tcW w:w="6101" w:type="dxa"/>
            <w:gridSpan w:val="3"/>
            <w:tcBorders>
              <w:top w:val="single" w:sz="4" w:space="0" w:color="auto"/>
              <w:left w:val="single" w:sz="4" w:space="0" w:color="auto"/>
              <w:right w:val="single" w:sz="4" w:space="0" w:color="auto"/>
            </w:tcBorders>
            <w:shd w:val="clear" w:color="auto" w:fill="FFFFFF"/>
            <w:vAlign w:val="center"/>
          </w:tcPr>
          <w:p w:rsidR="00E14EA8" w:rsidRDefault="006B076D">
            <w:pPr>
              <w:pStyle w:val="a6"/>
              <w:shd w:val="clear" w:color="auto" w:fill="auto"/>
              <w:rPr>
                <w:sz w:val="22"/>
                <w:szCs w:val="22"/>
              </w:rPr>
            </w:pPr>
            <w:r>
              <w:rPr>
                <w:color w:val="002060"/>
                <w:sz w:val="22"/>
                <w:szCs w:val="22"/>
              </w:rPr>
              <w:t>Institutions and Policies for Regional Development</w:t>
            </w:r>
          </w:p>
        </w:tc>
      </w:tr>
      <w:tr w:rsidR="00E14EA8">
        <w:trPr>
          <w:trHeight w:hRule="exact" w:val="1133"/>
          <w:jc w:val="center"/>
        </w:trPr>
        <w:tc>
          <w:tcPr>
            <w:tcW w:w="5016" w:type="dxa"/>
            <w:gridSpan w:val="2"/>
            <w:tcBorders>
              <w:top w:val="single" w:sz="4" w:space="0" w:color="auto"/>
              <w:left w:val="single" w:sz="4" w:space="0" w:color="auto"/>
            </w:tcBorders>
            <w:shd w:val="clear" w:color="auto" w:fill="DED9C3"/>
            <w:vAlign w:val="bottom"/>
          </w:tcPr>
          <w:p w:rsidR="00E14EA8" w:rsidRDefault="006B076D">
            <w:pPr>
              <w:pStyle w:val="a6"/>
              <w:shd w:val="clear" w:color="auto" w:fill="auto"/>
              <w:spacing w:line="214" w:lineRule="auto"/>
              <w:jc w:val="center"/>
            </w:pPr>
            <w:r>
              <w:rPr>
                <w:b/>
                <w:bCs/>
              </w:rPr>
              <w:t>INDEPENDENT TEACHING ACTIVITIES</w:t>
            </w:r>
          </w:p>
          <w:p w:rsidR="00E14EA8" w:rsidRDefault="006B076D">
            <w:pPr>
              <w:pStyle w:val="a6"/>
              <w:shd w:val="clear" w:color="auto" w:fill="auto"/>
              <w:jc w:val="center"/>
              <w:rPr>
                <w:sz w:val="18"/>
                <w:szCs w:val="18"/>
              </w:rPr>
            </w:pPr>
            <w:r>
              <w:rPr>
                <w:i/>
                <w:iCs/>
                <w:sz w:val="18"/>
                <w:szCs w:val="18"/>
              </w:rPr>
              <w:t>where credit is awarded for discrete parts of the course e.g. lectures, laboratory exercises, etc. If credit is awarded for the whole course, indicate the weekly teaching hours and the total number of credits</w:t>
            </w:r>
          </w:p>
        </w:tc>
        <w:tc>
          <w:tcPr>
            <w:tcW w:w="1536" w:type="dxa"/>
            <w:tcBorders>
              <w:top w:val="single" w:sz="4" w:space="0" w:color="auto"/>
              <w:left w:val="single" w:sz="4" w:space="0" w:color="auto"/>
            </w:tcBorders>
            <w:shd w:val="clear" w:color="auto" w:fill="DED9C3"/>
            <w:vAlign w:val="center"/>
          </w:tcPr>
          <w:p w:rsidR="00E14EA8" w:rsidRDefault="006B076D">
            <w:pPr>
              <w:pStyle w:val="a6"/>
              <w:shd w:val="clear" w:color="auto" w:fill="auto"/>
              <w:jc w:val="center"/>
            </w:pPr>
            <w:r>
              <w:rPr>
                <w:b/>
                <w:bCs/>
              </w:rPr>
              <w:t>WEEKLY TEACHING HOURS</w:t>
            </w:r>
          </w:p>
        </w:tc>
        <w:tc>
          <w:tcPr>
            <w:tcW w:w="2237" w:type="dxa"/>
            <w:tcBorders>
              <w:top w:val="single" w:sz="4" w:space="0" w:color="auto"/>
              <w:left w:val="single" w:sz="4" w:space="0" w:color="auto"/>
              <w:right w:val="single" w:sz="4" w:space="0" w:color="auto"/>
            </w:tcBorders>
            <w:shd w:val="clear" w:color="auto" w:fill="DED9C3"/>
            <w:vAlign w:val="center"/>
          </w:tcPr>
          <w:p w:rsidR="00E14EA8" w:rsidRDefault="006B076D">
            <w:pPr>
              <w:pStyle w:val="a6"/>
              <w:shd w:val="clear" w:color="auto" w:fill="auto"/>
              <w:jc w:val="center"/>
            </w:pPr>
            <w:r>
              <w:rPr>
                <w:b/>
                <w:bCs/>
              </w:rPr>
              <w:t>TEACHING/CREDIT UNITS</w:t>
            </w:r>
          </w:p>
        </w:tc>
      </w:tr>
      <w:tr w:rsidR="00E14EA8">
        <w:trPr>
          <w:trHeight w:hRule="exact" w:val="278"/>
          <w:jc w:val="center"/>
        </w:trPr>
        <w:tc>
          <w:tcPr>
            <w:tcW w:w="5016" w:type="dxa"/>
            <w:gridSpan w:val="2"/>
            <w:tcBorders>
              <w:top w:val="single" w:sz="4" w:space="0" w:color="auto"/>
              <w:left w:val="single" w:sz="4" w:space="0" w:color="auto"/>
            </w:tcBorders>
            <w:shd w:val="clear" w:color="auto" w:fill="FFFFFF"/>
            <w:vAlign w:val="bottom"/>
          </w:tcPr>
          <w:p w:rsidR="00E14EA8" w:rsidRDefault="006B076D">
            <w:pPr>
              <w:pStyle w:val="a6"/>
              <w:shd w:val="clear" w:color="auto" w:fill="auto"/>
              <w:jc w:val="right"/>
              <w:rPr>
                <w:sz w:val="22"/>
                <w:szCs w:val="22"/>
              </w:rPr>
            </w:pPr>
            <w:r>
              <w:rPr>
                <w:color w:val="002060"/>
                <w:sz w:val="22"/>
                <w:szCs w:val="22"/>
              </w:rPr>
              <w:t>Lectures</w:t>
            </w:r>
          </w:p>
        </w:tc>
        <w:tc>
          <w:tcPr>
            <w:tcW w:w="1536" w:type="dxa"/>
            <w:tcBorders>
              <w:top w:val="single" w:sz="4" w:space="0" w:color="auto"/>
              <w:left w:val="single" w:sz="4" w:space="0" w:color="auto"/>
            </w:tcBorders>
            <w:shd w:val="clear" w:color="auto" w:fill="FFFFFF"/>
            <w:vAlign w:val="bottom"/>
          </w:tcPr>
          <w:p w:rsidR="00E14EA8" w:rsidRDefault="006B076D">
            <w:pPr>
              <w:pStyle w:val="a6"/>
              <w:shd w:val="clear" w:color="auto" w:fill="auto"/>
              <w:jc w:val="center"/>
              <w:rPr>
                <w:sz w:val="22"/>
                <w:szCs w:val="22"/>
              </w:rPr>
            </w:pPr>
            <w:r>
              <w:rPr>
                <w:color w:val="002060"/>
                <w:sz w:val="22"/>
                <w:szCs w:val="22"/>
              </w:rPr>
              <w:t>4</w:t>
            </w:r>
          </w:p>
        </w:tc>
        <w:tc>
          <w:tcPr>
            <w:tcW w:w="2237" w:type="dxa"/>
            <w:tcBorders>
              <w:top w:val="single" w:sz="4" w:space="0" w:color="auto"/>
              <w:left w:val="single" w:sz="4" w:space="0" w:color="auto"/>
              <w:right w:val="single" w:sz="4" w:space="0" w:color="auto"/>
            </w:tcBorders>
            <w:shd w:val="clear" w:color="auto" w:fill="FFFFFF"/>
            <w:vAlign w:val="bottom"/>
          </w:tcPr>
          <w:p w:rsidR="00E14EA8" w:rsidRDefault="006B076D">
            <w:pPr>
              <w:pStyle w:val="a6"/>
              <w:shd w:val="clear" w:color="auto" w:fill="auto"/>
              <w:jc w:val="center"/>
              <w:rPr>
                <w:sz w:val="22"/>
                <w:szCs w:val="22"/>
              </w:rPr>
            </w:pPr>
            <w:r>
              <w:rPr>
                <w:color w:val="002060"/>
                <w:sz w:val="22"/>
                <w:szCs w:val="22"/>
              </w:rPr>
              <w:t>5</w:t>
            </w:r>
          </w:p>
        </w:tc>
      </w:tr>
      <w:tr w:rsidR="00E14EA8">
        <w:trPr>
          <w:trHeight w:hRule="exact" w:val="254"/>
          <w:jc w:val="center"/>
        </w:trPr>
        <w:tc>
          <w:tcPr>
            <w:tcW w:w="5016" w:type="dxa"/>
            <w:gridSpan w:val="2"/>
            <w:tcBorders>
              <w:top w:val="single" w:sz="4" w:space="0" w:color="auto"/>
              <w:left w:val="single" w:sz="4" w:space="0" w:color="auto"/>
            </w:tcBorders>
            <w:shd w:val="clear" w:color="auto" w:fill="FFFFFF"/>
          </w:tcPr>
          <w:p w:rsidR="00E14EA8" w:rsidRDefault="00E14EA8">
            <w:pPr>
              <w:rPr>
                <w:sz w:val="10"/>
                <w:szCs w:val="10"/>
              </w:rPr>
            </w:pPr>
          </w:p>
        </w:tc>
        <w:tc>
          <w:tcPr>
            <w:tcW w:w="1536" w:type="dxa"/>
            <w:tcBorders>
              <w:top w:val="single" w:sz="4" w:space="0" w:color="auto"/>
              <w:left w:val="single" w:sz="4" w:space="0" w:color="auto"/>
            </w:tcBorders>
            <w:shd w:val="clear" w:color="auto" w:fill="FFFFFF"/>
          </w:tcPr>
          <w:p w:rsidR="00E14EA8" w:rsidRDefault="00E14EA8">
            <w:pPr>
              <w:rPr>
                <w:sz w:val="10"/>
                <w:szCs w:val="10"/>
              </w:rPr>
            </w:pPr>
          </w:p>
        </w:tc>
        <w:tc>
          <w:tcPr>
            <w:tcW w:w="2237" w:type="dxa"/>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250"/>
          <w:jc w:val="center"/>
        </w:trPr>
        <w:tc>
          <w:tcPr>
            <w:tcW w:w="5016" w:type="dxa"/>
            <w:gridSpan w:val="2"/>
            <w:tcBorders>
              <w:top w:val="single" w:sz="4" w:space="0" w:color="auto"/>
              <w:left w:val="single" w:sz="4" w:space="0" w:color="auto"/>
            </w:tcBorders>
            <w:shd w:val="clear" w:color="auto" w:fill="FFFFFF"/>
          </w:tcPr>
          <w:p w:rsidR="00E14EA8" w:rsidRDefault="00E14EA8">
            <w:pPr>
              <w:rPr>
                <w:sz w:val="10"/>
                <w:szCs w:val="10"/>
              </w:rPr>
            </w:pPr>
          </w:p>
        </w:tc>
        <w:tc>
          <w:tcPr>
            <w:tcW w:w="1536" w:type="dxa"/>
            <w:tcBorders>
              <w:top w:val="single" w:sz="4" w:space="0" w:color="auto"/>
              <w:left w:val="single" w:sz="4" w:space="0" w:color="auto"/>
            </w:tcBorders>
            <w:shd w:val="clear" w:color="auto" w:fill="FFFFFF"/>
          </w:tcPr>
          <w:p w:rsidR="00E14EA8" w:rsidRDefault="00E14EA8">
            <w:pPr>
              <w:rPr>
                <w:sz w:val="10"/>
                <w:szCs w:val="10"/>
              </w:rPr>
            </w:pPr>
          </w:p>
        </w:tc>
        <w:tc>
          <w:tcPr>
            <w:tcW w:w="2237" w:type="dxa"/>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446"/>
          <w:jc w:val="center"/>
        </w:trPr>
        <w:tc>
          <w:tcPr>
            <w:tcW w:w="5016" w:type="dxa"/>
            <w:gridSpan w:val="2"/>
            <w:tcBorders>
              <w:top w:val="single" w:sz="4" w:space="0" w:color="auto"/>
              <w:left w:val="single" w:sz="4" w:space="0" w:color="auto"/>
            </w:tcBorders>
            <w:shd w:val="clear" w:color="auto" w:fill="DED9C3"/>
            <w:vAlign w:val="bottom"/>
          </w:tcPr>
          <w:p w:rsidR="00E14EA8" w:rsidRDefault="006B076D">
            <w:pPr>
              <w:pStyle w:val="a6"/>
              <w:shd w:val="clear" w:color="auto" w:fill="auto"/>
              <w:spacing w:line="233" w:lineRule="auto"/>
              <w:rPr>
                <w:sz w:val="18"/>
                <w:szCs w:val="18"/>
              </w:rPr>
            </w:pPr>
            <w:r>
              <w:rPr>
                <w:i/>
                <w:iCs/>
                <w:sz w:val="18"/>
                <w:szCs w:val="18"/>
              </w:rPr>
              <w:t>Add rows if necessary. The teaching organisation and the teaching methods used are described in detail in 4.</w:t>
            </w:r>
          </w:p>
        </w:tc>
        <w:tc>
          <w:tcPr>
            <w:tcW w:w="1536" w:type="dxa"/>
            <w:tcBorders>
              <w:top w:val="single" w:sz="4" w:space="0" w:color="auto"/>
              <w:left w:val="single" w:sz="4" w:space="0" w:color="auto"/>
            </w:tcBorders>
            <w:shd w:val="clear" w:color="auto" w:fill="FFFFFF"/>
          </w:tcPr>
          <w:p w:rsidR="00E14EA8" w:rsidRDefault="00E14EA8">
            <w:pPr>
              <w:rPr>
                <w:sz w:val="10"/>
                <w:szCs w:val="10"/>
              </w:rPr>
            </w:pPr>
          </w:p>
        </w:tc>
        <w:tc>
          <w:tcPr>
            <w:tcW w:w="2237" w:type="dxa"/>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989"/>
          <w:jc w:val="center"/>
        </w:trPr>
        <w:tc>
          <w:tcPr>
            <w:tcW w:w="2688"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right"/>
            </w:pPr>
            <w:r>
              <w:rPr>
                <w:b/>
                <w:bCs/>
              </w:rPr>
              <w:t>TYPE OF COURSE</w:t>
            </w:r>
          </w:p>
          <w:p w:rsidR="00E14EA8" w:rsidRDefault="006B076D">
            <w:pPr>
              <w:pStyle w:val="a6"/>
              <w:shd w:val="clear" w:color="auto" w:fill="auto"/>
              <w:jc w:val="right"/>
            </w:pPr>
            <w:r>
              <w:t>Background, General Knowledge, Scientific Area, Skills Development</w:t>
            </w:r>
          </w:p>
        </w:tc>
        <w:tc>
          <w:tcPr>
            <w:tcW w:w="6101" w:type="dxa"/>
            <w:gridSpan w:val="3"/>
            <w:tcBorders>
              <w:top w:val="single" w:sz="4" w:space="0" w:color="auto"/>
              <w:left w:val="single" w:sz="4" w:space="0" w:color="auto"/>
              <w:right w:val="single" w:sz="4" w:space="0" w:color="auto"/>
            </w:tcBorders>
            <w:shd w:val="clear" w:color="auto" w:fill="FFFFFF"/>
          </w:tcPr>
          <w:p w:rsidR="00E14EA8" w:rsidRDefault="006B076D">
            <w:pPr>
              <w:pStyle w:val="a6"/>
              <w:shd w:val="clear" w:color="auto" w:fill="auto"/>
              <w:rPr>
                <w:sz w:val="22"/>
                <w:szCs w:val="22"/>
              </w:rPr>
            </w:pPr>
            <w:bookmarkStart w:id="2" w:name="_GoBack"/>
            <w:bookmarkEnd w:id="2"/>
            <w:r>
              <w:rPr>
                <w:color w:val="002060"/>
                <w:sz w:val="22"/>
                <w:szCs w:val="22"/>
              </w:rPr>
              <w:t>scientific area course</w:t>
            </w:r>
          </w:p>
        </w:tc>
      </w:tr>
      <w:tr w:rsidR="00E14EA8">
        <w:trPr>
          <w:trHeight w:hRule="exact" w:val="499"/>
          <w:jc w:val="center"/>
        </w:trPr>
        <w:tc>
          <w:tcPr>
            <w:tcW w:w="2688" w:type="dxa"/>
            <w:tcBorders>
              <w:top w:val="single" w:sz="4" w:space="0" w:color="auto"/>
              <w:left w:val="single" w:sz="4" w:space="0" w:color="auto"/>
            </w:tcBorders>
            <w:shd w:val="clear" w:color="auto" w:fill="DED9C3"/>
          </w:tcPr>
          <w:p w:rsidR="00E14EA8" w:rsidRDefault="006B076D">
            <w:pPr>
              <w:pStyle w:val="a6"/>
              <w:shd w:val="clear" w:color="auto" w:fill="auto"/>
              <w:jc w:val="right"/>
            </w:pPr>
            <w:r>
              <w:rPr>
                <w:b/>
                <w:bCs/>
              </w:rPr>
              <w:t>PREREQUISITES:</w:t>
            </w:r>
          </w:p>
        </w:tc>
        <w:tc>
          <w:tcPr>
            <w:tcW w:w="6101" w:type="dxa"/>
            <w:gridSpan w:val="3"/>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494"/>
          <w:jc w:val="center"/>
        </w:trPr>
        <w:tc>
          <w:tcPr>
            <w:tcW w:w="2688" w:type="dxa"/>
            <w:tcBorders>
              <w:top w:val="single" w:sz="4" w:space="0" w:color="auto"/>
              <w:left w:val="single" w:sz="4" w:space="0" w:color="auto"/>
            </w:tcBorders>
            <w:shd w:val="clear" w:color="auto" w:fill="DED9C3"/>
            <w:vAlign w:val="bottom"/>
          </w:tcPr>
          <w:p w:rsidR="00E14EA8" w:rsidRDefault="006B076D">
            <w:pPr>
              <w:pStyle w:val="a6"/>
              <w:shd w:val="clear" w:color="auto" w:fill="auto"/>
              <w:spacing w:line="233" w:lineRule="auto"/>
              <w:jc w:val="right"/>
            </w:pPr>
            <w:r>
              <w:rPr>
                <w:b/>
                <w:bCs/>
              </w:rPr>
              <w:t>LANGUAGE OF TEACHING AND EXAMINATION:</w:t>
            </w:r>
          </w:p>
        </w:tc>
        <w:tc>
          <w:tcPr>
            <w:tcW w:w="6101" w:type="dxa"/>
            <w:gridSpan w:val="3"/>
            <w:tcBorders>
              <w:top w:val="single" w:sz="4" w:space="0" w:color="auto"/>
              <w:left w:val="single" w:sz="4" w:space="0" w:color="auto"/>
              <w:right w:val="single" w:sz="4" w:space="0" w:color="auto"/>
            </w:tcBorders>
            <w:shd w:val="clear" w:color="auto" w:fill="FFFFFF"/>
          </w:tcPr>
          <w:p w:rsidR="00E14EA8" w:rsidRDefault="006B076D">
            <w:pPr>
              <w:pStyle w:val="a6"/>
              <w:shd w:val="clear" w:color="auto" w:fill="auto"/>
              <w:rPr>
                <w:sz w:val="22"/>
                <w:szCs w:val="22"/>
              </w:rPr>
            </w:pPr>
            <w:r>
              <w:rPr>
                <w:color w:val="002060"/>
                <w:sz w:val="22"/>
                <w:szCs w:val="22"/>
              </w:rPr>
              <w:t>Hellenic (Greek)</w:t>
            </w:r>
          </w:p>
        </w:tc>
      </w:tr>
      <w:tr w:rsidR="00E14EA8">
        <w:trPr>
          <w:trHeight w:hRule="exact" w:val="499"/>
          <w:jc w:val="center"/>
        </w:trPr>
        <w:tc>
          <w:tcPr>
            <w:tcW w:w="2688" w:type="dxa"/>
            <w:tcBorders>
              <w:top w:val="single" w:sz="4" w:space="0" w:color="auto"/>
              <w:left w:val="single" w:sz="4" w:space="0" w:color="auto"/>
            </w:tcBorders>
            <w:shd w:val="clear" w:color="auto" w:fill="DED9C3"/>
          </w:tcPr>
          <w:p w:rsidR="00E14EA8" w:rsidRDefault="006B076D">
            <w:pPr>
              <w:pStyle w:val="a6"/>
              <w:shd w:val="clear" w:color="auto" w:fill="auto"/>
              <w:jc w:val="right"/>
            </w:pPr>
            <w:r>
              <w:rPr>
                <w:b/>
                <w:bCs/>
              </w:rPr>
              <w:t>THE COURSE IS OFFERED TO ERASMUS STUDENTS</w:t>
            </w:r>
          </w:p>
        </w:tc>
        <w:tc>
          <w:tcPr>
            <w:tcW w:w="6101" w:type="dxa"/>
            <w:gridSpan w:val="3"/>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557"/>
          <w:jc w:val="center"/>
        </w:trPr>
        <w:tc>
          <w:tcPr>
            <w:tcW w:w="2688" w:type="dxa"/>
            <w:tcBorders>
              <w:top w:val="single" w:sz="4" w:space="0" w:color="auto"/>
              <w:left w:val="single" w:sz="4" w:space="0" w:color="auto"/>
              <w:bottom w:val="single" w:sz="4" w:space="0" w:color="auto"/>
            </w:tcBorders>
            <w:shd w:val="clear" w:color="auto" w:fill="DED9C3"/>
          </w:tcPr>
          <w:p w:rsidR="00E14EA8" w:rsidRDefault="006B076D">
            <w:pPr>
              <w:pStyle w:val="a6"/>
              <w:shd w:val="clear" w:color="auto" w:fill="auto"/>
              <w:jc w:val="right"/>
            </w:pPr>
            <w:r>
              <w:rPr>
                <w:b/>
                <w:bCs/>
              </w:rPr>
              <w:t>ELECTRONIC COURSE PAGE (URL)</w:t>
            </w:r>
          </w:p>
        </w:tc>
        <w:tc>
          <w:tcPr>
            <w:tcW w:w="6101" w:type="dxa"/>
            <w:gridSpan w:val="3"/>
            <w:tcBorders>
              <w:top w:val="single" w:sz="4" w:space="0" w:color="auto"/>
              <w:left w:val="single" w:sz="4" w:space="0" w:color="auto"/>
              <w:bottom w:val="single" w:sz="4" w:space="0" w:color="auto"/>
              <w:right w:val="single" w:sz="4" w:space="0" w:color="auto"/>
            </w:tcBorders>
            <w:shd w:val="clear" w:color="auto" w:fill="FFFFFF"/>
          </w:tcPr>
          <w:p w:rsidR="00E14EA8" w:rsidRDefault="00E14EA8">
            <w:pPr>
              <w:rPr>
                <w:sz w:val="10"/>
                <w:szCs w:val="10"/>
              </w:rPr>
            </w:pPr>
          </w:p>
        </w:tc>
      </w:tr>
    </w:tbl>
    <w:p w:rsidR="00E14EA8" w:rsidRDefault="00E14EA8">
      <w:pPr>
        <w:sectPr w:rsidR="00E14EA8">
          <w:pgSz w:w="11900" w:h="16840"/>
          <w:pgMar w:top="1549" w:right="1431" w:bottom="1549" w:left="1680" w:header="1121" w:footer="1121" w:gutter="0"/>
          <w:pgNumType w:start="1"/>
          <w:cols w:space="720"/>
          <w:noEndnote/>
          <w:docGrid w:linePitch="360"/>
        </w:sectPr>
      </w:pPr>
    </w:p>
    <w:p w:rsidR="00E14EA8" w:rsidRDefault="006B076D">
      <w:pPr>
        <w:pStyle w:val="32"/>
        <w:keepNext/>
        <w:keepLines/>
        <w:numPr>
          <w:ilvl w:val="0"/>
          <w:numId w:val="1"/>
        </w:numPr>
        <w:shd w:val="clear" w:color="auto" w:fill="auto"/>
        <w:tabs>
          <w:tab w:val="left" w:pos="568"/>
        </w:tabs>
        <w:spacing w:after="220"/>
        <w:ind w:firstLine="200"/>
      </w:pPr>
      <w:bookmarkStart w:id="3" w:name="bookmark2"/>
      <w:bookmarkStart w:id="4" w:name="bookmark3"/>
      <w:r>
        <w:lastRenderedPageBreak/>
        <w:t>LEARNING OUTCOMES</w:t>
      </w:r>
      <w:bookmarkEnd w:id="3"/>
      <w:bookmarkEnd w:id="4"/>
    </w:p>
    <w:p w:rsidR="00E14EA8" w:rsidRDefault="006B076D">
      <w:pPr>
        <w:pStyle w:val="40"/>
        <w:keepNext/>
        <w:keepLines/>
        <w:shd w:val="clear" w:color="auto" w:fill="auto"/>
        <w:ind w:firstLine="200"/>
      </w:pPr>
      <w:bookmarkStart w:id="5" w:name="bookmark4"/>
      <w:bookmarkStart w:id="6" w:name="bookmark5"/>
      <w:r>
        <w:t>LearningOutcomes</w:t>
      </w:r>
      <w:bookmarkEnd w:id="5"/>
      <w:bookmarkEnd w:id="6"/>
    </w:p>
    <w:p w:rsidR="00E14EA8" w:rsidRDefault="006B076D">
      <w:pPr>
        <w:pStyle w:val="30"/>
        <w:shd w:val="clear" w:color="auto" w:fill="auto"/>
        <w:ind w:left="200"/>
      </w:pPr>
      <w:r>
        <w:t>The learning outcomes of the course describe the specific knowledge, skills and competences of an appropriate level that students will acquire after successful completion of the course.</w:t>
      </w:r>
    </w:p>
    <w:p w:rsidR="00E14EA8" w:rsidRDefault="006B076D">
      <w:pPr>
        <w:pStyle w:val="30"/>
        <w:shd w:val="clear" w:color="auto" w:fill="auto"/>
        <w:spacing w:after="0" w:line="269" w:lineRule="auto"/>
        <w:ind w:firstLine="200"/>
      </w:pPr>
      <w:r>
        <w:t>Consult Annex A</w:t>
      </w:r>
    </w:p>
    <w:p w:rsidR="00E14EA8" w:rsidRDefault="006B076D">
      <w:pPr>
        <w:pStyle w:val="30"/>
        <w:numPr>
          <w:ilvl w:val="0"/>
          <w:numId w:val="2"/>
        </w:numPr>
        <w:shd w:val="clear" w:color="auto" w:fill="auto"/>
        <w:tabs>
          <w:tab w:val="left" w:pos="558"/>
        </w:tabs>
        <w:spacing w:line="259" w:lineRule="auto"/>
        <w:ind w:left="520" w:hanging="220"/>
      </w:pPr>
      <w:r>
        <w:t>Description of the Level of Learning Outcomes for each cycle of study according to the Qualifications Framework of the European Higher Education Area</w:t>
      </w:r>
    </w:p>
    <w:p w:rsidR="00E14EA8" w:rsidRDefault="006B076D">
      <w:pPr>
        <w:pStyle w:val="30"/>
        <w:numPr>
          <w:ilvl w:val="0"/>
          <w:numId w:val="2"/>
        </w:numPr>
        <w:shd w:val="clear" w:color="auto" w:fill="auto"/>
        <w:tabs>
          <w:tab w:val="left" w:pos="558"/>
        </w:tabs>
        <w:spacing w:line="252" w:lineRule="auto"/>
        <w:ind w:firstLine="300"/>
      </w:pPr>
      <w:r>
        <w:t>Descriptive indicators for Levels 6, 7 &amp; 8 of the European Qualifications Framework for Lifelong Learning and Annex B</w:t>
      </w:r>
    </w:p>
    <w:p w:rsidR="00E14EA8" w:rsidRDefault="006B076D">
      <w:pPr>
        <w:pStyle w:val="30"/>
        <w:numPr>
          <w:ilvl w:val="0"/>
          <w:numId w:val="2"/>
        </w:numPr>
        <w:pBdr>
          <w:bottom w:val="single" w:sz="4" w:space="0" w:color="auto"/>
        </w:pBdr>
        <w:shd w:val="clear" w:color="auto" w:fill="auto"/>
        <w:tabs>
          <w:tab w:val="left" w:pos="558"/>
        </w:tabs>
        <w:spacing w:line="252" w:lineRule="auto"/>
        <w:ind w:firstLine="300"/>
        <w:jc w:val="both"/>
      </w:pPr>
      <w:r>
        <w:t>Comprehensive Guide to the Writing of Learning Outcomes</w:t>
      </w:r>
    </w:p>
    <w:p w:rsidR="00E14EA8" w:rsidRDefault="006B076D">
      <w:pPr>
        <w:pStyle w:val="20"/>
        <w:keepNext/>
        <w:keepLines/>
        <w:shd w:val="clear" w:color="auto" w:fill="auto"/>
      </w:pPr>
      <w:bookmarkStart w:id="7" w:name="bookmark6"/>
      <w:bookmarkStart w:id="8" w:name="bookmark7"/>
      <w:r>
        <w:t>Upon completion of the course it is expected that students will be able to:</w:t>
      </w:r>
      <w:bookmarkEnd w:id="7"/>
      <w:bookmarkEnd w:id="8"/>
    </w:p>
    <w:p w:rsidR="00E14EA8" w:rsidRDefault="006B076D">
      <w:pPr>
        <w:pStyle w:val="11"/>
        <w:shd w:val="clear" w:color="auto" w:fill="auto"/>
        <w:spacing w:after="40" w:line="216" w:lineRule="auto"/>
        <w:ind w:firstLine="520"/>
      </w:pPr>
      <w:r>
        <w:rPr>
          <w:b/>
          <w:bCs/>
          <w:u w:val="single"/>
        </w:rPr>
        <w:t>Knowledge</w:t>
      </w:r>
    </w:p>
    <w:p w:rsidR="00E14EA8" w:rsidRDefault="006B076D">
      <w:pPr>
        <w:pStyle w:val="11"/>
        <w:shd w:val="clear" w:color="auto" w:fill="auto"/>
        <w:ind w:left="520"/>
      </w:pPr>
      <w:r>
        <w:t>- Define &amp; articulate the structural components of the institutional framework of regional development at national and European level.</w:t>
      </w:r>
    </w:p>
    <w:p w:rsidR="00E14EA8" w:rsidRDefault="006B076D">
      <w:pPr>
        <w:pStyle w:val="11"/>
        <w:shd w:val="clear" w:color="auto" w:fill="auto"/>
        <w:spacing w:after="220"/>
        <w:ind w:left="520"/>
      </w:pPr>
      <w:r>
        <w:t>- Understand how the Community and national institutions approach, define and understand the concept of regional development through the set of institutional acts and policies they pursue and implement.</w:t>
      </w:r>
    </w:p>
    <w:p w:rsidR="00E14EA8" w:rsidRDefault="006B076D">
      <w:pPr>
        <w:pStyle w:val="40"/>
        <w:keepNext/>
        <w:keepLines/>
        <w:shd w:val="clear" w:color="auto" w:fill="auto"/>
        <w:ind w:firstLine="520"/>
      </w:pPr>
      <w:bookmarkStart w:id="9" w:name="bookmark8"/>
      <w:bookmarkStart w:id="10" w:name="bookmark9"/>
      <w:r>
        <w:rPr>
          <w:u w:val="single"/>
        </w:rPr>
        <w:t>Competences</w:t>
      </w:r>
      <w:bookmarkEnd w:id="9"/>
      <w:bookmarkEnd w:id="10"/>
    </w:p>
    <w:p w:rsidR="00E14EA8" w:rsidRDefault="006B076D">
      <w:pPr>
        <w:pStyle w:val="11"/>
        <w:shd w:val="clear" w:color="auto" w:fill="auto"/>
        <w:ind w:left="520"/>
      </w:pPr>
      <w:r>
        <w:t>- To become familiar with the objectives of regional policy, the relationships between its objectives and the dilemmas in its implementation.</w:t>
      </w:r>
    </w:p>
    <w:p w:rsidR="00E14EA8" w:rsidRDefault="0078783E">
      <w:pPr>
        <w:pStyle w:val="11"/>
        <w:shd w:val="clear" w:color="auto" w:fill="auto"/>
        <w:ind w:left="520"/>
      </w:pPr>
      <w:r>
        <w:pict>
          <v:shapetype id="_x0000_t202" coordsize="21600,21600" o:spt="202" path="m,l,21600r21600,l21600,xe">
            <v:stroke joinstyle="miter"/>
            <v:path gradientshapeok="t" o:connecttype="rect"/>
          </v:shapetype>
          <v:shape id="_x0000_s1027" type="#_x0000_t202" style="position:absolute;left:0;text-align:left;margin-left:336.95pt;margin-top:12pt;width:167.05pt;height:14.65pt;z-index:-125829375;mso-wrap-distance-left:0;mso-wrap-distance-right:0;mso-position-horizontal-relative:page" filled="f" stroked="f">
            <v:textbox inset="0,0,0,0">
              <w:txbxContent>
                <w:p w:rsidR="00E14EA8" w:rsidRDefault="006B076D">
                  <w:pPr>
                    <w:pStyle w:val="11"/>
                    <w:shd w:val="clear" w:color="auto" w:fill="auto"/>
                  </w:pPr>
                  <w:r>
                    <w:t>regional competitiveness and regional</w:t>
                  </w:r>
                </w:p>
              </w:txbxContent>
            </v:textbox>
            <w10:wrap type="square" side="left" anchorx="page"/>
          </v:shape>
        </w:pict>
      </w:r>
      <w:r w:rsidR="006B076D">
        <w:t>- To develop their critical faculties to analyze regional development and convergence policies.</w:t>
      </w:r>
    </w:p>
    <w:p w:rsidR="00E14EA8" w:rsidRDefault="0078783E">
      <w:pPr>
        <w:pStyle w:val="11"/>
        <w:shd w:val="clear" w:color="auto" w:fill="auto"/>
        <w:ind w:left="520"/>
      </w:pPr>
      <w:r>
        <w:pict>
          <v:shape id="_x0000_s1029" type="#_x0000_t202" style="position:absolute;left:0;text-align:left;margin-left:336.25pt;margin-top:24pt;width:168pt;height:14.65pt;z-index:-125829373;mso-wrap-distance-left:1pt;mso-wrap-distance-right:1pt;mso-position-horizontal-relative:page" filled="f" stroked="f">
            <v:textbox inset="0,0,0,0">
              <w:txbxContent>
                <w:p w:rsidR="00E14EA8" w:rsidRDefault="006B076D">
                  <w:pPr>
                    <w:pStyle w:val="11"/>
                    <w:shd w:val="clear" w:color="auto" w:fill="auto"/>
                  </w:pPr>
                  <w:r>
                    <w:t>approach, define and understand the</w:t>
                  </w:r>
                </w:p>
              </w:txbxContent>
            </v:textbox>
            <w10:wrap type="square" side="left" anchorx="page"/>
          </v:shape>
        </w:pict>
      </w:r>
      <w:r w:rsidR="006B076D">
        <w:t>- Identify the policies and mechanisms that create resilience.</w:t>
      </w:r>
    </w:p>
    <w:p w:rsidR="00E14EA8" w:rsidRDefault="0078783E">
      <w:pPr>
        <w:pStyle w:val="11"/>
        <w:shd w:val="clear" w:color="auto" w:fill="auto"/>
        <w:ind w:left="520"/>
      </w:pPr>
      <w:r>
        <w:pict>
          <v:shape id="_x0000_s1031" type="#_x0000_t202" style="position:absolute;left:0;text-align:left;margin-left:339.6pt;margin-top:24pt;width:164.65pt;height:14.65pt;z-index:-125829371;mso-wrap-distance-left:0;mso-wrap-distance-right:0;mso-position-horizontal-relative:page" filled="f" stroked="f">
            <v:textbox inset="0,0,0,0">
              <w:txbxContent>
                <w:p w:rsidR="00E14EA8" w:rsidRDefault="006B076D">
                  <w:pPr>
                    <w:pStyle w:val="11"/>
                    <w:shd w:val="clear" w:color="auto" w:fill="auto"/>
                  </w:pPr>
                  <w:r>
                    <w:t>the necessity of regional policy, the</w:t>
                  </w:r>
                </w:p>
              </w:txbxContent>
            </v:textbox>
            <w10:wrap type="square" side="left" anchorx="page"/>
          </v:shape>
        </w:pict>
      </w:r>
      <w:r w:rsidR="006B076D">
        <w:t>- Analyzehow Community and national institutions concept of regional development</w:t>
      </w:r>
    </w:p>
    <w:p w:rsidR="00E14EA8" w:rsidRDefault="006B076D">
      <w:pPr>
        <w:pStyle w:val="11"/>
        <w:shd w:val="clear" w:color="auto" w:fill="auto"/>
        <w:ind w:left="520"/>
      </w:pPr>
      <w:r>
        <w:t>- To develop their critical capacity with regard to exploitation of the productive potential of the economy and the achievement of high rates of economic growth.</w:t>
      </w:r>
    </w:p>
    <w:p w:rsidR="00E14EA8" w:rsidRDefault="006B076D">
      <w:pPr>
        <w:pStyle w:val="11"/>
        <w:shd w:val="clear" w:color="auto" w:fill="auto"/>
        <w:ind w:left="520"/>
      </w:pPr>
      <w:r>
        <w:t>- To recognize the contribution of public and private investment to the country's regional development</w:t>
      </w:r>
    </w:p>
    <w:p w:rsidR="00E14EA8" w:rsidRDefault="006B076D">
      <w:pPr>
        <w:pStyle w:val="11"/>
        <w:shd w:val="clear" w:color="auto" w:fill="auto"/>
        <w:ind w:left="520"/>
      </w:pPr>
      <w:r>
        <w:t>- Recognize the contribution of the 'CALICRATES' program and its functions to regional development.</w:t>
      </w:r>
    </w:p>
    <w:p w:rsidR="00E14EA8" w:rsidRDefault="006B076D">
      <w:pPr>
        <w:pStyle w:val="11"/>
        <w:shd w:val="clear" w:color="auto" w:fill="auto"/>
        <w:spacing w:after="220"/>
        <w:ind w:left="520"/>
      </w:pPr>
      <w:r>
        <w:t>- To become familiar with the instruments of regional policy.</w:t>
      </w:r>
    </w:p>
    <w:p w:rsidR="00E14EA8" w:rsidRDefault="006B076D">
      <w:pPr>
        <w:pStyle w:val="40"/>
        <w:keepNext/>
        <w:keepLines/>
        <w:shd w:val="clear" w:color="auto" w:fill="auto"/>
        <w:ind w:firstLine="520"/>
      </w:pPr>
      <w:bookmarkStart w:id="11" w:name="bookmark10"/>
      <w:bookmarkStart w:id="12" w:name="bookmark11"/>
      <w:r>
        <w:rPr>
          <w:u w:val="single"/>
        </w:rPr>
        <w:t>Skills</w:t>
      </w:r>
      <w:bookmarkEnd w:id="11"/>
      <w:bookmarkEnd w:id="12"/>
    </w:p>
    <w:p w:rsidR="00E14EA8" w:rsidRDefault="006B076D">
      <w:pPr>
        <w:pStyle w:val="11"/>
        <w:pBdr>
          <w:bottom w:val="single" w:sz="4" w:space="0" w:color="auto"/>
        </w:pBdr>
        <w:shd w:val="clear" w:color="auto" w:fill="auto"/>
        <w:spacing w:after="180"/>
        <w:ind w:firstLine="520"/>
      </w:pPr>
      <w:r>
        <w:t>- To evaluate regional policies and institutions at national and community level.</w:t>
      </w:r>
    </w:p>
    <w:p w:rsidR="00E14EA8" w:rsidRDefault="006B076D">
      <w:pPr>
        <w:pStyle w:val="40"/>
        <w:keepNext/>
        <w:keepLines/>
        <w:shd w:val="clear" w:color="auto" w:fill="auto"/>
        <w:ind w:firstLine="200"/>
      </w:pPr>
      <w:bookmarkStart w:id="13" w:name="bookmark12"/>
      <w:bookmarkStart w:id="14" w:name="bookmark13"/>
      <w:r>
        <w:t>Generalskills</w:t>
      </w:r>
      <w:bookmarkEnd w:id="13"/>
      <w:bookmarkEnd w:id="14"/>
    </w:p>
    <w:p w:rsidR="00E14EA8" w:rsidRDefault="006B076D">
      <w:pPr>
        <w:pStyle w:val="30"/>
        <w:shd w:val="clear" w:color="auto" w:fill="auto"/>
        <w:ind w:left="200"/>
      </w:pPr>
      <w:r>
        <w:t>Taking into account the general competences that the graduate should have acquired (as listed in the Diploma Supplement and listed below), which one(s) does the course aim at?</w:t>
      </w:r>
    </w:p>
    <w:p w:rsidR="00E14EA8" w:rsidRDefault="0078783E">
      <w:pPr>
        <w:pStyle w:val="30"/>
        <w:shd w:val="clear" w:color="auto" w:fill="auto"/>
        <w:ind w:left="200"/>
        <w:jc w:val="both"/>
      </w:pPr>
      <w:r>
        <w:pict>
          <v:shape id="_x0000_s1033" type="#_x0000_t202" style="position:absolute;left:0;text-align:left;margin-left:286.8pt;margin-top:1pt;width:216.5pt;height:88.1pt;z-index:-125829369;mso-position-horizontal-relative:page" filled="f" stroked="f">
            <v:textbox inset="0,0,0,0">
              <w:txbxContent>
                <w:p w:rsidR="00E14EA8" w:rsidRDefault="006B076D">
                  <w:pPr>
                    <w:pStyle w:val="30"/>
                    <w:shd w:val="clear" w:color="auto" w:fill="auto"/>
                    <w:spacing w:after="0" w:line="307" w:lineRule="auto"/>
                  </w:pPr>
                  <w:r>
                    <w:t>Generating new research ideas Project planning and management Respect for diversity and multiculturalism</w:t>
                  </w:r>
                </w:p>
                <w:p w:rsidR="00E14EA8" w:rsidRDefault="006B076D">
                  <w:pPr>
                    <w:pStyle w:val="30"/>
                    <w:shd w:val="clear" w:color="auto" w:fill="auto"/>
                    <w:spacing w:after="0" w:line="307" w:lineRule="auto"/>
                  </w:pPr>
                  <w:r>
                    <w:t>Respect for the natural environment</w:t>
                  </w:r>
                </w:p>
                <w:p w:rsidR="00E14EA8" w:rsidRDefault="006B076D">
                  <w:pPr>
                    <w:pStyle w:val="30"/>
                    <w:shd w:val="clear" w:color="auto" w:fill="auto"/>
                    <w:spacing w:after="60" w:line="233" w:lineRule="auto"/>
                  </w:pPr>
                  <w:r>
                    <w:t>Demonstrating social, professional and ethical responsibility and gender sensitivity</w:t>
                  </w:r>
                </w:p>
                <w:p w:rsidR="00E14EA8" w:rsidRDefault="006B076D">
                  <w:pPr>
                    <w:pStyle w:val="30"/>
                    <w:shd w:val="clear" w:color="auto" w:fill="auto"/>
                    <w:spacing w:after="0" w:line="307" w:lineRule="auto"/>
                  </w:pPr>
                  <w:r>
                    <w:t>Exercise of criticism and self-criticism</w:t>
                  </w:r>
                </w:p>
                <w:p w:rsidR="00E14EA8" w:rsidRDefault="006B076D">
                  <w:pPr>
                    <w:pStyle w:val="30"/>
                    <w:shd w:val="clear" w:color="auto" w:fill="auto"/>
                    <w:spacing w:after="0" w:line="307" w:lineRule="auto"/>
                  </w:pPr>
                  <w:r>
                    <w:t>Promotion of free, creative and deductive thinking.</w:t>
                  </w:r>
                </w:p>
              </w:txbxContent>
            </v:textbox>
            <w10:wrap type="square" side="left" anchorx="page"/>
          </v:shape>
        </w:pict>
      </w:r>
      <w:r w:rsidR="006B076D">
        <w:t>Search, analysis and synthesis of data and information, including the use of the necessary technologies</w:t>
      </w:r>
    </w:p>
    <w:p w:rsidR="00E14EA8" w:rsidRDefault="006B076D">
      <w:pPr>
        <w:pStyle w:val="30"/>
        <w:shd w:val="clear" w:color="auto" w:fill="auto"/>
        <w:ind w:firstLine="200"/>
        <w:jc w:val="both"/>
      </w:pPr>
      <w:r>
        <w:t>Adaptation to new situations</w:t>
      </w:r>
    </w:p>
    <w:p w:rsidR="00E14EA8" w:rsidRDefault="006B076D">
      <w:pPr>
        <w:pStyle w:val="30"/>
        <w:shd w:val="clear" w:color="auto" w:fill="auto"/>
        <w:ind w:firstLine="200"/>
      </w:pPr>
      <w:r>
        <w:t>Decision-making</w:t>
      </w:r>
    </w:p>
    <w:p w:rsidR="00E14EA8" w:rsidRDefault="006B076D">
      <w:pPr>
        <w:pStyle w:val="30"/>
        <w:shd w:val="clear" w:color="auto" w:fill="auto"/>
        <w:ind w:firstLine="200"/>
      </w:pPr>
      <w:r>
        <w:t>Autonomous work</w:t>
      </w:r>
    </w:p>
    <w:p w:rsidR="00E14EA8" w:rsidRDefault="006B076D">
      <w:pPr>
        <w:pStyle w:val="30"/>
        <w:shd w:val="clear" w:color="auto" w:fill="auto"/>
        <w:ind w:firstLine="200"/>
      </w:pPr>
      <w:r>
        <w:t>Group work</w:t>
      </w:r>
    </w:p>
    <w:p w:rsidR="00E14EA8" w:rsidRDefault="006B076D">
      <w:pPr>
        <w:pStyle w:val="30"/>
        <w:shd w:val="clear" w:color="auto" w:fill="auto"/>
        <w:ind w:firstLine="200"/>
        <w:jc w:val="both"/>
      </w:pPr>
      <w:r>
        <w:t>Working in an international environment</w:t>
      </w:r>
    </w:p>
    <w:p w:rsidR="00E14EA8" w:rsidRDefault="006B076D">
      <w:pPr>
        <w:pStyle w:val="30"/>
        <w:pBdr>
          <w:bottom w:val="single" w:sz="4" w:space="0" w:color="auto"/>
        </w:pBdr>
        <w:shd w:val="clear" w:color="auto" w:fill="auto"/>
        <w:spacing w:after="300"/>
        <w:ind w:firstLine="200"/>
        <w:jc w:val="both"/>
      </w:pPr>
      <w:r>
        <w:t>Working in an interdisciplinary environment</w:t>
      </w:r>
    </w:p>
    <w:p w:rsidR="00E14EA8" w:rsidRDefault="006B076D">
      <w:pPr>
        <w:pStyle w:val="11"/>
        <w:shd w:val="clear" w:color="auto" w:fill="auto"/>
        <w:ind w:left="200"/>
      </w:pPr>
      <w:r>
        <w:rPr>
          <w:color w:val="002060"/>
        </w:rPr>
        <w:t>Search, analysis and synthesis of data and information, using the necessary technologies Decision-making</w:t>
      </w:r>
    </w:p>
    <w:p w:rsidR="00E14EA8" w:rsidRDefault="006B076D">
      <w:pPr>
        <w:pStyle w:val="11"/>
        <w:shd w:val="clear" w:color="auto" w:fill="auto"/>
        <w:ind w:left="200"/>
      </w:pPr>
      <w:r>
        <w:rPr>
          <w:color w:val="002060"/>
        </w:rPr>
        <w:t>Generating new research ideas Respect for the natural environment</w:t>
      </w:r>
    </w:p>
    <w:p w:rsidR="00E14EA8" w:rsidRDefault="006B076D">
      <w:pPr>
        <w:pStyle w:val="11"/>
        <w:shd w:val="clear" w:color="auto" w:fill="auto"/>
        <w:spacing w:after="120"/>
        <w:ind w:firstLine="200"/>
      </w:pPr>
      <w:r>
        <w:rPr>
          <w:color w:val="002060"/>
        </w:rPr>
        <w:t>Promotion of free, creative and deductive thinking</w:t>
      </w:r>
    </w:p>
    <w:p w:rsidR="00E14EA8" w:rsidRDefault="006B076D">
      <w:pPr>
        <w:pStyle w:val="32"/>
        <w:keepNext/>
        <w:keepLines/>
        <w:numPr>
          <w:ilvl w:val="0"/>
          <w:numId w:val="1"/>
        </w:numPr>
        <w:shd w:val="clear" w:color="auto" w:fill="auto"/>
        <w:tabs>
          <w:tab w:val="left" w:pos="828"/>
        </w:tabs>
        <w:spacing w:after="40"/>
        <w:ind w:firstLine="460"/>
      </w:pPr>
      <w:bookmarkStart w:id="15" w:name="bookmark14"/>
      <w:bookmarkStart w:id="16" w:name="bookmark15"/>
      <w:r>
        <w:t>COURSE CONTENT</w:t>
      </w:r>
      <w:bookmarkEnd w:id="15"/>
      <w:bookmarkEnd w:id="16"/>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72"/>
        </w:tabs>
        <w:jc w:val="both"/>
      </w:pPr>
      <w:r>
        <w:t xml:space="preserve">THE NEED FOR REGIONAL POLICY: Exploiting the productive potential of the economy, achieving high rates of economic growth, limiting the costs of expanding social capital, avoiding social unrest and tensions, social justice and market </w:t>
      </w:r>
      <w:r>
        <w:lastRenderedPageBreak/>
        <w:t>mechanism, offsetting the effects of other policies, countering the effects of economic integration.</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610"/>
        </w:tabs>
        <w:jc w:val="both"/>
      </w:pPr>
      <w:r>
        <w:t>OBJECTIVES AND DILEMMAS OF REGIONAL POLICY: Issues of methodology in regional policy making, objectives of regional policy, relationships between regional policy objectives, dilemmas in regional policy making.</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72"/>
        </w:tabs>
        <w:jc w:val="both"/>
      </w:pPr>
      <w:r>
        <w:t>THE FRAMEWORK OF REGIONAL POLICY EXERCISE: The timelessness of the regional problem, the interdependence of spatial levels, the internationalization of economic activities, economies of concentration and counter-economies, structural changes and the “tertiarization” of the economy, the spatial implications of European integration.</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52"/>
        </w:tabs>
        <w:ind w:left="0" w:firstLine="220"/>
      </w:pPr>
      <w:r>
        <w:t>THE LEGAL FRAMEWORK OF THE EUROPEAN UNION.</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72"/>
        </w:tabs>
        <w:jc w:val="both"/>
      </w:pPr>
      <w:r>
        <w:t>POLICIES OF THE EUROPEAN UNION: cohesion policy, common agricultural policy, structural industrial policy, competition policy, social policy, environmental policy, cultural policy, international economic relations policy, international economic relations policy, transport policy.</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606"/>
        </w:tabs>
        <w:jc w:val="both"/>
      </w:pPr>
      <w:r>
        <w:t>EUROPEAN UNION REGIONAL POLICY: Historical background, measurement of regional disparities in the EU, modern European regional development policy and modes of intervention, institutions and mechanisms (European Investment Bank - EIB, European Regional Development Fund - ERDF, Cohesion Fund, appropriations).</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72"/>
        </w:tabs>
        <w:jc w:val="both"/>
      </w:pPr>
      <w:r>
        <w:t>MEANS OF IMPLEMENTING REGIONAL POLICY: public spending, infrastructure, development incentives, controls and restrictions, enhancing labor and capital mobility, enhancing flexibility, policies to support SMEs, decentralization of the public sector, human resources policies, intangible infrastructure policies, establishment of scientific institutions, cross-border cooperation policies, selective policies to tackle industrial decline.</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72"/>
        </w:tabs>
        <w:jc w:val="both"/>
      </w:pPr>
      <w:r>
        <w:t>REGIONAL DISTRIBUTION OF PUBLIC INVESTMENT: The developmental importance of public investment, public investment and space, strategies for regional distribution of public investment, determinants of regional distribution of public investment, public investment in Greece.</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567"/>
        </w:tabs>
        <w:jc w:val="both"/>
      </w:pPr>
      <w:r>
        <w:t>INVESTMENT PROMOTION POLICIES AND REGIONAL DEVELOPMENT IN GREECE: Types of development incentives, historical background, development laws of the period 1981-2016, entrepreneurship and investment promotion actions in the Community Support Frameworks, financing of development laws, regional impact assessment, new Development Law.</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792"/>
        </w:tabs>
        <w:jc w:val="both"/>
      </w:pPr>
      <w:r>
        <w:t>THE KAPODESTRIANPROGRAM: Historical context, reasons for the establishment and objectives of the program, Law 2539/1997, the administrative partition of the country into municipalities, prefectures and regions, evaluation of the program.</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692"/>
        </w:tabs>
        <w:jc w:val="both"/>
      </w:pPr>
      <w:r>
        <w:t>THE CALLICRATESPROGRAM: The rationale behind the design and institutional implementation of the Callicrates Program and its functions for regional development, the new constitution of the self-governing services for development processes, the institutional changes of the Callicrates Program for municipalities and regions, the institutional framework of decentralized administration and its role in the development processes in the country's regions, the institutional functions of the self-governing regions of Greece and their importance for the development processes in the country's regions, the institutional functions of the self-governing regions of Greece and their importance for the development processes in the country's regions.</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672"/>
        </w:tabs>
        <w:ind w:hanging="220"/>
      </w:pPr>
      <w:r>
        <w:t xml:space="preserve">INSTITUTIONAL FRAMEWORK IN GREECE: The institutional framework for the </w:t>
      </w:r>
      <w:r>
        <w:lastRenderedPageBreak/>
        <w:t>support of private investment for economic growth, entrepreneurship and regional cohesion, the institutional framework of the Special Spatial Development Plans for Strategic Investments, the institutional functions of the financial framework of the 2014-2020 development program for sectorial and regional development policies.</w:t>
      </w:r>
    </w:p>
    <w:p w:rsidR="00E14EA8" w:rsidRDefault="006B076D">
      <w:pPr>
        <w:pStyle w:val="22"/>
        <w:numPr>
          <w:ilvl w:val="0"/>
          <w:numId w:val="3"/>
        </w:numPr>
        <w:pBdr>
          <w:top w:val="single" w:sz="4" w:space="0" w:color="auto"/>
          <w:left w:val="single" w:sz="4" w:space="0" w:color="auto"/>
          <w:bottom w:val="single" w:sz="4" w:space="0" w:color="auto"/>
          <w:right w:val="single" w:sz="4" w:space="0" w:color="auto"/>
        </w:pBdr>
        <w:shd w:val="clear" w:color="auto" w:fill="auto"/>
        <w:tabs>
          <w:tab w:val="left" w:pos="672"/>
        </w:tabs>
        <w:spacing w:after="100"/>
        <w:ind w:hanging="220"/>
      </w:pPr>
      <w:r>
        <w:t xml:space="preserve">SPATIAL PLANNING AND DEVELOPMENT IN GREECE: Spatial planning - national policy, National Spatial Planning, Marine Spatial Planning, National Spatial Planning - Specific Frameworks, Specific Framework for Aquaculture, Tourism, Industry, Renewable Energy Sources (RES), detention facilities, Regional level spatial planning, Sub-regional level spatial planning, Zones of Settlement </w:t>
      </w:r>
      <w:r>
        <w:rPr>
          <w:u w:val="single"/>
        </w:rPr>
        <w:t>Control, general guidelines for Specially Regulated Urban Development Areas.</w:t>
      </w:r>
    </w:p>
    <w:p w:rsidR="00E14EA8" w:rsidRDefault="006B076D">
      <w:pPr>
        <w:pStyle w:val="22"/>
        <w:numPr>
          <w:ilvl w:val="0"/>
          <w:numId w:val="1"/>
        </w:numPr>
        <w:shd w:val="clear" w:color="auto" w:fill="auto"/>
        <w:tabs>
          <w:tab w:val="left" w:pos="800"/>
        </w:tabs>
        <w:spacing w:after="200" w:line="257" w:lineRule="auto"/>
        <w:ind w:left="0" w:firstLine="440"/>
        <w:rPr>
          <w:sz w:val="22"/>
          <w:szCs w:val="22"/>
        </w:rPr>
      </w:pPr>
      <w:r>
        <w:rPr>
          <w:b/>
          <w:bCs/>
          <w:color w:val="000000"/>
          <w:sz w:val="22"/>
          <w:szCs w:val="22"/>
        </w:rPr>
        <w:t>TEACHING and LEARNING METHODS - EVALUATION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46"/>
        <w:gridCol w:w="2544"/>
        <w:gridCol w:w="2467"/>
        <w:gridCol w:w="130"/>
      </w:tblGrid>
      <w:tr w:rsidR="00E14EA8">
        <w:trPr>
          <w:trHeight w:hRule="exact" w:val="523"/>
          <w:jc w:val="center"/>
        </w:trPr>
        <w:tc>
          <w:tcPr>
            <w:tcW w:w="3346" w:type="dxa"/>
            <w:tcBorders>
              <w:top w:val="single" w:sz="4" w:space="0" w:color="auto"/>
              <w:left w:val="single" w:sz="4" w:space="0" w:color="auto"/>
            </w:tcBorders>
            <w:shd w:val="clear" w:color="auto" w:fill="DED9C3"/>
            <w:vAlign w:val="bottom"/>
          </w:tcPr>
          <w:p w:rsidR="00E14EA8" w:rsidRDefault="006B076D">
            <w:pPr>
              <w:pStyle w:val="a6"/>
              <w:shd w:val="clear" w:color="auto" w:fill="auto"/>
              <w:ind w:left="1340"/>
              <w:jc w:val="both"/>
            </w:pPr>
            <w:r>
              <w:rPr>
                <w:b/>
                <w:bCs/>
              </w:rPr>
              <w:t>METHOD OF DELIVERY</w:t>
            </w:r>
          </w:p>
          <w:p w:rsidR="00E14EA8" w:rsidRDefault="006B076D">
            <w:pPr>
              <w:pStyle w:val="a6"/>
              <w:shd w:val="clear" w:color="auto" w:fill="auto"/>
              <w:ind w:firstLine="300"/>
              <w:jc w:val="both"/>
            </w:pPr>
            <w:r>
              <w:t>Face-to-face, Distance learning, etc.</w:t>
            </w:r>
          </w:p>
        </w:tc>
        <w:tc>
          <w:tcPr>
            <w:tcW w:w="5141" w:type="dxa"/>
            <w:gridSpan w:val="3"/>
            <w:tcBorders>
              <w:top w:val="single" w:sz="4" w:space="0" w:color="auto"/>
              <w:left w:val="single" w:sz="4" w:space="0" w:color="auto"/>
              <w:right w:val="single" w:sz="4" w:space="0" w:color="auto"/>
            </w:tcBorders>
            <w:shd w:val="clear" w:color="auto" w:fill="FFFFFF"/>
          </w:tcPr>
          <w:p w:rsidR="00E14EA8" w:rsidRDefault="006B076D">
            <w:pPr>
              <w:pStyle w:val="a6"/>
              <w:shd w:val="clear" w:color="auto" w:fill="auto"/>
              <w:rPr>
                <w:sz w:val="22"/>
                <w:szCs w:val="22"/>
              </w:rPr>
            </w:pPr>
            <w:r>
              <w:rPr>
                <w:sz w:val="22"/>
                <w:szCs w:val="22"/>
              </w:rPr>
              <w:t>Lectures and meetings with students</w:t>
            </w:r>
          </w:p>
        </w:tc>
      </w:tr>
      <w:tr w:rsidR="00E14EA8">
        <w:trPr>
          <w:trHeight w:hRule="exact" w:val="1358"/>
          <w:jc w:val="center"/>
        </w:trPr>
        <w:tc>
          <w:tcPr>
            <w:tcW w:w="3346" w:type="dxa"/>
            <w:tcBorders>
              <w:top w:val="single" w:sz="4" w:space="0" w:color="auto"/>
              <w:left w:val="single" w:sz="4" w:space="0" w:color="auto"/>
            </w:tcBorders>
            <w:shd w:val="clear" w:color="auto" w:fill="DED9C3"/>
          </w:tcPr>
          <w:p w:rsidR="00E14EA8" w:rsidRDefault="006B076D">
            <w:pPr>
              <w:pStyle w:val="a6"/>
              <w:shd w:val="clear" w:color="auto" w:fill="auto"/>
              <w:jc w:val="right"/>
            </w:pPr>
            <w:r>
              <w:rPr>
                <w:b/>
                <w:bCs/>
              </w:rPr>
              <w:t xml:space="preserve">USE OF INFORMATION AND COMMUNICATION TECHNOLOGIES </w:t>
            </w:r>
            <w:r>
              <w:t>Use of ICT in Teaching, Laboratory Training, Communication with students</w:t>
            </w:r>
          </w:p>
        </w:tc>
        <w:tc>
          <w:tcPr>
            <w:tcW w:w="5141" w:type="dxa"/>
            <w:gridSpan w:val="3"/>
            <w:tcBorders>
              <w:top w:val="single" w:sz="4" w:space="0" w:color="auto"/>
              <w:left w:val="single" w:sz="4" w:space="0" w:color="auto"/>
              <w:right w:val="single" w:sz="4" w:space="0" w:color="auto"/>
            </w:tcBorders>
            <w:shd w:val="clear" w:color="auto" w:fill="FFFFFF"/>
            <w:vAlign w:val="bottom"/>
          </w:tcPr>
          <w:p w:rsidR="00E14EA8" w:rsidRDefault="006B076D">
            <w:pPr>
              <w:pStyle w:val="a6"/>
              <w:shd w:val="clear" w:color="auto" w:fill="auto"/>
              <w:rPr>
                <w:sz w:val="22"/>
                <w:szCs w:val="22"/>
              </w:rPr>
            </w:pPr>
            <w:r>
              <w:rPr>
                <w:sz w:val="22"/>
                <w:szCs w:val="22"/>
              </w:rPr>
              <w:t>Computer and interactive whiteboard will be used in the teaching.</w:t>
            </w:r>
          </w:p>
          <w:p w:rsidR="00E14EA8" w:rsidRDefault="006B076D">
            <w:pPr>
              <w:pStyle w:val="a6"/>
              <w:shd w:val="clear" w:color="auto" w:fill="auto"/>
              <w:rPr>
                <w:sz w:val="22"/>
                <w:szCs w:val="22"/>
              </w:rPr>
            </w:pPr>
            <w:r>
              <w:rPr>
                <w:sz w:val="22"/>
                <w:szCs w:val="22"/>
              </w:rPr>
              <w:t>Communication with students will be on a personal level, also using e-mail and telecommunication (e.g. Skype).</w:t>
            </w:r>
          </w:p>
        </w:tc>
      </w:tr>
      <w:tr w:rsidR="00E14EA8">
        <w:trPr>
          <w:trHeight w:hRule="exact" w:val="259"/>
          <w:jc w:val="center"/>
        </w:trPr>
        <w:tc>
          <w:tcPr>
            <w:tcW w:w="3346" w:type="dxa"/>
            <w:vMerge w:val="restart"/>
            <w:tcBorders>
              <w:top w:val="single" w:sz="4" w:space="0" w:color="auto"/>
              <w:left w:val="single" w:sz="4" w:space="0" w:color="auto"/>
            </w:tcBorders>
            <w:shd w:val="clear" w:color="auto" w:fill="DED9C3"/>
          </w:tcPr>
          <w:p w:rsidR="00E14EA8" w:rsidRDefault="006B076D">
            <w:pPr>
              <w:pStyle w:val="a6"/>
              <w:shd w:val="clear" w:color="auto" w:fill="auto"/>
              <w:ind w:firstLine="700"/>
              <w:jc w:val="both"/>
            </w:pPr>
            <w:r>
              <w:rPr>
                <w:b/>
                <w:bCs/>
              </w:rPr>
              <w:t>ORGANISATION OF TEACHING</w:t>
            </w:r>
          </w:p>
          <w:p w:rsidR="00E14EA8" w:rsidRDefault="006B076D">
            <w:pPr>
              <w:pStyle w:val="a6"/>
              <w:shd w:val="clear" w:color="auto" w:fill="auto"/>
              <w:jc w:val="both"/>
            </w:pPr>
            <w:r>
              <w:t>The way and methods of teaching are described in detail.</w:t>
            </w:r>
          </w:p>
          <w:p w:rsidR="00E14EA8" w:rsidRDefault="006B076D">
            <w:pPr>
              <w:pStyle w:val="a6"/>
              <w:shd w:val="clear" w:color="auto" w:fill="auto"/>
              <w:tabs>
                <w:tab w:val="left" w:pos="1056"/>
                <w:tab w:val="right" w:pos="3072"/>
              </w:tabs>
              <w:jc w:val="both"/>
            </w:pPr>
            <w:r>
              <w:t>Lectures,</w:t>
            </w:r>
            <w:r>
              <w:tab/>
              <w:t>Seminars,</w:t>
            </w:r>
            <w:r>
              <w:tab/>
              <w:t>Laboratory</w:t>
            </w:r>
          </w:p>
          <w:p w:rsidR="00E14EA8" w:rsidRDefault="006B076D">
            <w:pPr>
              <w:pStyle w:val="a6"/>
              <w:shd w:val="clear" w:color="auto" w:fill="auto"/>
              <w:tabs>
                <w:tab w:val="left" w:pos="1109"/>
                <w:tab w:val="right" w:pos="3077"/>
              </w:tabs>
              <w:jc w:val="both"/>
            </w:pPr>
            <w:r>
              <w:t>Exercise, Field Exercise, Study &amp; Analysis of Literature, Tutorials, Practical</w:t>
            </w:r>
            <w:r>
              <w:tab/>
              <w:t>(Placement),</w:t>
            </w:r>
            <w:r>
              <w:tab/>
              <w:t>Clinical</w:t>
            </w:r>
          </w:p>
          <w:p w:rsidR="00E14EA8" w:rsidRDefault="006B076D">
            <w:pPr>
              <w:pStyle w:val="a6"/>
              <w:shd w:val="clear" w:color="auto" w:fill="auto"/>
              <w:tabs>
                <w:tab w:val="left" w:pos="1094"/>
                <w:tab w:val="right" w:pos="3062"/>
              </w:tabs>
              <w:jc w:val="both"/>
            </w:pPr>
            <w:r>
              <w:t>Exercise,</w:t>
            </w:r>
            <w:r>
              <w:tab/>
              <w:t>Artistic</w:t>
            </w:r>
            <w:r>
              <w:tab/>
              <w:t>Workshop,</w:t>
            </w:r>
          </w:p>
          <w:p w:rsidR="00E14EA8" w:rsidRDefault="006B076D">
            <w:pPr>
              <w:pStyle w:val="a6"/>
              <w:shd w:val="clear" w:color="auto" w:fill="auto"/>
              <w:tabs>
                <w:tab w:val="left" w:pos="1094"/>
                <w:tab w:val="right" w:pos="3058"/>
              </w:tabs>
              <w:jc w:val="both"/>
            </w:pPr>
            <w:r>
              <w:t>Interactive</w:t>
            </w:r>
            <w:r>
              <w:tab/>
              <w:t>teaching,</w:t>
            </w:r>
            <w:r>
              <w:tab/>
              <w:t>Educational</w:t>
            </w:r>
          </w:p>
          <w:p w:rsidR="00E14EA8" w:rsidRDefault="006B076D">
            <w:pPr>
              <w:pStyle w:val="a6"/>
              <w:shd w:val="clear" w:color="auto" w:fill="auto"/>
              <w:tabs>
                <w:tab w:val="left" w:pos="1109"/>
                <w:tab w:val="right" w:pos="3072"/>
              </w:tabs>
              <w:jc w:val="both"/>
            </w:pPr>
            <w:r>
              <w:t>visits, Study visits, Project work, Writing of</w:t>
            </w:r>
            <w:r>
              <w:tab/>
              <w:t>work /</w:t>
            </w:r>
            <w:r>
              <w:tab/>
              <w:t>assignments,</w:t>
            </w:r>
          </w:p>
          <w:p w:rsidR="00E14EA8" w:rsidRDefault="006B076D">
            <w:pPr>
              <w:pStyle w:val="a6"/>
              <w:shd w:val="clear" w:color="auto" w:fill="auto"/>
              <w:jc w:val="both"/>
            </w:pPr>
            <w:r>
              <w:t>Artistic creation, etc.</w:t>
            </w:r>
          </w:p>
          <w:p w:rsidR="00E14EA8" w:rsidRDefault="006B076D">
            <w:pPr>
              <w:pStyle w:val="a6"/>
              <w:shd w:val="clear" w:color="auto" w:fill="auto"/>
              <w:jc w:val="both"/>
            </w:pPr>
            <w:r>
              <w:t>The student's study hours for each learning activity as well as the hours of unguided study are indicated so that the total workload at semester level corresponds to the ECTS standards.</w:t>
            </w:r>
          </w:p>
        </w:tc>
        <w:tc>
          <w:tcPr>
            <w:tcW w:w="2544"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center"/>
            </w:pPr>
            <w:r>
              <w:rPr>
                <w:b/>
                <w:bCs/>
                <w:i/>
                <w:iCs/>
              </w:rPr>
              <w:t>Activity</w:t>
            </w:r>
          </w:p>
        </w:tc>
        <w:tc>
          <w:tcPr>
            <w:tcW w:w="2467" w:type="dxa"/>
            <w:tcBorders>
              <w:top w:val="single" w:sz="4" w:space="0" w:color="auto"/>
              <w:left w:val="single" w:sz="4" w:space="0" w:color="auto"/>
            </w:tcBorders>
            <w:shd w:val="clear" w:color="auto" w:fill="DED9C3"/>
            <w:vAlign w:val="bottom"/>
          </w:tcPr>
          <w:p w:rsidR="00E14EA8" w:rsidRDefault="006B076D">
            <w:pPr>
              <w:pStyle w:val="a6"/>
              <w:shd w:val="clear" w:color="auto" w:fill="auto"/>
              <w:jc w:val="center"/>
            </w:pPr>
            <w:r>
              <w:rPr>
                <w:b/>
                <w:bCs/>
                <w:i/>
                <w:iCs/>
              </w:rPr>
              <w:t>Semester Workload</w:t>
            </w:r>
          </w:p>
        </w:tc>
        <w:tc>
          <w:tcPr>
            <w:tcW w:w="130" w:type="dxa"/>
            <w:vMerge w:val="restart"/>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278"/>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6B076D">
            <w:pPr>
              <w:pStyle w:val="a6"/>
              <w:shd w:val="clear" w:color="auto" w:fill="auto"/>
              <w:ind w:firstLine="160"/>
              <w:rPr>
                <w:sz w:val="22"/>
                <w:szCs w:val="22"/>
              </w:rPr>
            </w:pPr>
            <w:r>
              <w:rPr>
                <w:sz w:val="22"/>
                <w:szCs w:val="22"/>
              </w:rPr>
              <w:t>Coursedeliveries</w:t>
            </w:r>
          </w:p>
        </w:tc>
        <w:tc>
          <w:tcPr>
            <w:tcW w:w="2467" w:type="dxa"/>
            <w:tcBorders>
              <w:top w:val="single" w:sz="4" w:space="0" w:color="auto"/>
              <w:left w:val="single" w:sz="4" w:space="0" w:color="auto"/>
            </w:tcBorders>
            <w:shd w:val="clear" w:color="auto" w:fill="FFFFFF"/>
          </w:tcPr>
          <w:p w:rsidR="00E14EA8" w:rsidRDefault="00AF5C83">
            <w:pPr>
              <w:pStyle w:val="a6"/>
              <w:shd w:val="clear" w:color="auto" w:fill="auto"/>
              <w:jc w:val="center"/>
              <w:rPr>
                <w:sz w:val="22"/>
                <w:szCs w:val="22"/>
              </w:rPr>
            </w:pPr>
            <w:r>
              <w:rPr>
                <w:sz w:val="22"/>
                <w:szCs w:val="22"/>
                <w:lang w:val="el-GR"/>
              </w:rPr>
              <w:t>52</w:t>
            </w:r>
            <w:r w:rsidR="006B076D">
              <w:rPr>
                <w:sz w:val="22"/>
                <w:szCs w:val="22"/>
              </w:rPr>
              <w:t>hours</w:t>
            </w: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278"/>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vAlign w:val="bottom"/>
          </w:tcPr>
          <w:p w:rsidR="00E14EA8" w:rsidRDefault="006B076D">
            <w:pPr>
              <w:pStyle w:val="a6"/>
              <w:shd w:val="clear" w:color="auto" w:fill="auto"/>
              <w:ind w:firstLine="160"/>
              <w:rPr>
                <w:sz w:val="22"/>
                <w:szCs w:val="22"/>
              </w:rPr>
            </w:pPr>
            <w:r>
              <w:rPr>
                <w:sz w:val="22"/>
                <w:szCs w:val="22"/>
              </w:rPr>
              <w:t>Studyoftaughtmaterial</w:t>
            </w:r>
          </w:p>
        </w:tc>
        <w:tc>
          <w:tcPr>
            <w:tcW w:w="2467" w:type="dxa"/>
            <w:tcBorders>
              <w:top w:val="single" w:sz="4" w:space="0" w:color="auto"/>
              <w:left w:val="single" w:sz="4" w:space="0" w:color="auto"/>
            </w:tcBorders>
            <w:shd w:val="clear" w:color="auto" w:fill="FFFFFF"/>
            <w:vAlign w:val="bottom"/>
          </w:tcPr>
          <w:p w:rsidR="00E14EA8" w:rsidRDefault="00AF5C83">
            <w:pPr>
              <w:pStyle w:val="a6"/>
              <w:shd w:val="clear" w:color="auto" w:fill="auto"/>
              <w:jc w:val="center"/>
              <w:rPr>
                <w:sz w:val="22"/>
                <w:szCs w:val="22"/>
              </w:rPr>
            </w:pPr>
            <w:r>
              <w:rPr>
                <w:sz w:val="22"/>
                <w:szCs w:val="22"/>
                <w:lang w:val="el-GR"/>
              </w:rPr>
              <w:t>52</w:t>
            </w:r>
            <w:r w:rsidR="006B076D">
              <w:rPr>
                <w:sz w:val="22"/>
                <w:szCs w:val="22"/>
              </w:rPr>
              <w:t>hours</w:t>
            </w: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811"/>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6B076D">
            <w:pPr>
              <w:pStyle w:val="a6"/>
              <w:shd w:val="clear" w:color="auto" w:fill="auto"/>
              <w:ind w:left="160"/>
              <w:rPr>
                <w:sz w:val="22"/>
                <w:szCs w:val="22"/>
              </w:rPr>
            </w:pPr>
            <w:r>
              <w:rPr>
                <w:sz w:val="22"/>
                <w:szCs w:val="22"/>
              </w:rPr>
              <w:t>Study and research of databases and additional work</w:t>
            </w:r>
          </w:p>
        </w:tc>
        <w:tc>
          <w:tcPr>
            <w:tcW w:w="2467" w:type="dxa"/>
            <w:tcBorders>
              <w:top w:val="single" w:sz="4" w:space="0" w:color="auto"/>
              <w:left w:val="single" w:sz="4" w:space="0" w:color="auto"/>
            </w:tcBorders>
            <w:shd w:val="clear" w:color="auto" w:fill="FFFFFF"/>
          </w:tcPr>
          <w:p w:rsidR="00E14EA8" w:rsidRDefault="00AF5C83">
            <w:pPr>
              <w:pStyle w:val="a6"/>
              <w:shd w:val="clear" w:color="auto" w:fill="auto"/>
              <w:jc w:val="center"/>
              <w:rPr>
                <w:sz w:val="22"/>
                <w:szCs w:val="22"/>
              </w:rPr>
            </w:pPr>
            <w:r>
              <w:rPr>
                <w:sz w:val="22"/>
                <w:szCs w:val="22"/>
                <w:lang w:val="el-GR"/>
              </w:rPr>
              <w:t>21</w:t>
            </w:r>
            <w:r w:rsidR="006B076D">
              <w:rPr>
                <w:sz w:val="22"/>
                <w:szCs w:val="22"/>
              </w:rPr>
              <w:t>hours</w:t>
            </w: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302"/>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tcPr>
          <w:p w:rsidR="00E14EA8" w:rsidRDefault="00E14EA8">
            <w:pPr>
              <w:rPr>
                <w:sz w:val="10"/>
                <w:szCs w:val="10"/>
              </w:rPr>
            </w:pPr>
          </w:p>
        </w:tc>
        <w:tc>
          <w:tcPr>
            <w:tcW w:w="2467" w:type="dxa"/>
            <w:tcBorders>
              <w:top w:val="single" w:sz="4" w:space="0" w:color="auto"/>
              <w:left w:val="single" w:sz="4" w:space="0" w:color="auto"/>
            </w:tcBorders>
            <w:shd w:val="clear" w:color="auto" w:fill="FFFFFF"/>
          </w:tcPr>
          <w:p w:rsidR="00E14EA8" w:rsidRDefault="00E14EA8">
            <w:pPr>
              <w:rPr>
                <w:sz w:val="10"/>
                <w:szCs w:val="10"/>
              </w:rPr>
            </w:pP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283"/>
          <w:jc w:val="center"/>
        </w:trPr>
        <w:tc>
          <w:tcPr>
            <w:tcW w:w="3346" w:type="dxa"/>
            <w:vMerge/>
            <w:tcBorders>
              <w:left w:val="single" w:sz="4" w:space="0" w:color="auto"/>
            </w:tcBorders>
            <w:shd w:val="clear" w:color="auto" w:fill="DED9C3"/>
          </w:tcPr>
          <w:p w:rsidR="00E14EA8" w:rsidRDefault="00E14EA8"/>
        </w:tc>
        <w:tc>
          <w:tcPr>
            <w:tcW w:w="2544" w:type="dxa"/>
            <w:tcBorders>
              <w:top w:val="single" w:sz="4" w:space="0" w:color="auto"/>
              <w:left w:val="single" w:sz="4" w:space="0" w:color="auto"/>
            </w:tcBorders>
            <w:shd w:val="clear" w:color="auto" w:fill="FFFFFF"/>
            <w:vAlign w:val="bottom"/>
          </w:tcPr>
          <w:p w:rsidR="00E14EA8" w:rsidRDefault="006B076D">
            <w:pPr>
              <w:pStyle w:val="a6"/>
              <w:shd w:val="clear" w:color="auto" w:fill="auto"/>
              <w:ind w:firstLine="160"/>
              <w:rPr>
                <w:sz w:val="22"/>
                <w:szCs w:val="22"/>
              </w:rPr>
            </w:pPr>
            <w:r>
              <w:rPr>
                <w:sz w:val="22"/>
                <w:szCs w:val="22"/>
              </w:rPr>
              <w:t>TotalCourse</w:t>
            </w:r>
          </w:p>
        </w:tc>
        <w:tc>
          <w:tcPr>
            <w:tcW w:w="2467" w:type="dxa"/>
            <w:tcBorders>
              <w:top w:val="single" w:sz="4" w:space="0" w:color="auto"/>
              <w:left w:val="single" w:sz="4" w:space="0" w:color="auto"/>
            </w:tcBorders>
            <w:shd w:val="clear" w:color="auto" w:fill="FFFFFF"/>
            <w:vAlign w:val="bottom"/>
          </w:tcPr>
          <w:p w:rsidR="00E14EA8" w:rsidRDefault="006B076D">
            <w:pPr>
              <w:pStyle w:val="a6"/>
              <w:shd w:val="clear" w:color="auto" w:fill="auto"/>
              <w:jc w:val="center"/>
              <w:rPr>
                <w:sz w:val="22"/>
                <w:szCs w:val="22"/>
              </w:rPr>
            </w:pPr>
            <w:r>
              <w:rPr>
                <w:sz w:val="22"/>
                <w:szCs w:val="22"/>
              </w:rPr>
              <w:t>125 hours</w:t>
            </w:r>
          </w:p>
        </w:tc>
        <w:tc>
          <w:tcPr>
            <w:tcW w:w="130" w:type="dxa"/>
            <w:vMerge/>
            <w:tcBorders>
              <w:left w:val="single" w:sz="4" w:space="0" w:color="auto"/>
              <w:right w:val="single" w:sz="4" w:space="0" w:color="auto"/>
            </w:tcBorders>
            <w:shd w:val="clear" w:color="auto" w:fill="FFFFFF"/>
          </w:tcPr>
          <w:p w:rsidR="00E14EA8" w:rsidRDefault="00E14EA8"/>
        </w:tc>
      </w:tr>
      <w:tr w:rsidR="00E14EA8">
        <w:trPr>
          <w:trHeight w:hRule="exact" w:val="667"/>
          <w:jc w:val="center"/>
        </w:trPr>
        <w:tc>
          <w:tcPr>
            <w:tcW w:w="3346" w:type="dxa"/>
            <w:vMerge/>
            <w:tcBorders>
              <w:left w:val="single" w:sz="4" w:space="0" w:color="auto"/>
            </w:tcBorders>
            <w:shd w:val="clear" w:color="auto" w:fill="DED9C3"/>
          </w:tcPr>
          <w:p w:rsidR="00E14EA8" w:rsidRDefault="00E14EA8"/>
        </w:tc>
        <w:tc>
          <w:tcPr>
            <w:tcW w:w="5011" w:type="dxa"/>
            <w:gridSpan w:val="2"/>
            <w:tcBorders>
              <w:top w:val="single" w:sz="4" w:space="0" w:color="auto"/>
              <w:left w:val="single" w:sz="4" w:space="0" w:color="auto"/>
            </w:tcBorders>
            <w:shd w:val="clear" w:color="auto" w:fill="FFFFFF"/>
          </w:tcPr>
          <w:p w:rsidR="00E14EA8" w:rsidRDefault="00E14EA8">
            <w:pPr>
              <w:rPr>
                <w:sz w:val="10"/>
                <w:szCs w:val="10"/>
              </w:rPr>
            </w:pPr>
          </w:p>
        </w:tc>
        <w:tc>
          <w:tcPr>
            <w:tcW w:w="130" w:type="dxa"/>
            <w:tcBorders>
              <w:top w:val="single" w:sz="4" w:space="0" w:color="auto"/>
              <w:left w:val="single" w:sz="4" w:space="0" w:color="auto"/>
              <w:right w:val="single" w:sz="4" w:space="0" w:color="auto"/>
            </w:tcBorders>
            <w:shd w:val="clear" w:color="auto" w:fill="FFFFFF"/>
          </w:tcPr>
          <w:p w:rsidR="00E14EA8" w:rsidRDefault="00E14EA8">
            <w:pPr>
              <w:rPr>
                <w:sz w:val="10"/>
                <w:szCs w:val="10"/>
              </w:rPr>
            </w:pPr>
          </w:p>
        </w:tc>
      </w:tr>
      <w:tr w:rsidR="00E14EA8">
        <w:trPr>
          <w:trHeight w:hRule="exact" w:val="2026"/>
          <w:jc w:val="center"/>
        </w:trPr>
        <w:tc>
          <w:tcPr>
            <w:tcW w:w="3346" w:type="dxa"/>
            <w:tcBorders>
              <w:top w:val="single" w:sz="4" w:space="0" w:color="auto"/>
              <w:left w:val="single" w:sz="4" w:space="0" w:color="auto"/>
              <w:bottom w:val="single" w:sz="4" w:space="0" w:color="auto"/>
            </w:tcBorders>
            <w:shd w:val="clear" w:color="auto" w:fill="FFFFFF"/>
          </w:tcPr>
          <w:p w:rsidR="00E14EA8" w:rsidRDefault="006B076D">
            <w:pPr>
              <w:pStyle w:val="a6"/>
              <w:shd w:val="clear" w:color="auto" w:fill="auto"/>
              <w:ind w:left="1260"/>
              <w:jc w:val="both"/>
            </w:pPr>
            <w:r>
              <w:rPr>
                <w:b/>
                <w:bCs/>
              </w:rPr>
              <w:t>STUDENT ASSESSMENT</w:t>
            </w:r>
          </w:p>
          <w:p w:rsidR="00E14EA8" w:rsidRDefault="006B076D">
            <w:pPr>
              <w:pStyle w:val="a6"/>
              <w:shd w:val="clear" w:color="auto" w:fill="auto"/>
              <w:spacing w:after="240"/>
            </w:pPr>
            <w:r>
              <w:t>Description of the evaluation process</w:t>
            </w:r>
          </w:p>
          <w:p w:rsidR="00E14EA8" w:rsidRDefault="006B076D">
            <w:pPr>
              <w:pStyle w:val="a6"/>
              <w:shd w:val="clear" w:color="auto" w:fill="auto"/>
              <w:tabs>
                <w:tab w:val="left" w:pos="1253"/>
                <w:tab w:val="left" w:pos="1997"/>
              </w:tabs>
              <w:jc w:val="both"/>
            </w:pPr>
            <w:r>
              <w:t>Language of Assessment, Assessment Methods, Formative or Inferential, Multiple Choice Test, Short Answer Questions,</w:t>
            </w:r>
            <w:r>
              <w:tab/>
              <w:t>Test</w:t>
            </w:r>
            <w:r>
              <w:tab/>
              <w:t>Development</w:t>
            </w:r>
          </w:p>
          <w:p w:rsidR="00E14EA8" w:rsidRDefault="006B076D">
            <w:pPr>
              <w:pStyle w:val="a6"/>
              <w:shd w:val="clear" w:color="auto" w:fill="auto"/>
              <w:jc w:val="both"/>
            </w:pPr>
            <w:r>
              <w:t>Questions, Problem Solving, Written</w:t>
            </w:r>
          </w:p>
        </w:tc>
        <w:tc>
          <w:tcPr>
            <w:tcW w:w="5141" w:type="dxa"/>
            <w:gridSpan w:val="3"/>
            <w:tcBorders>
              <w:top w:val="single" w:sz="4" w:space="0" w:color="auto"/>
              <w:left w:val="single" w:sz="4" w:space="0" w:color="auto"/>
              <w:bottom w:val="single" w:sz="4" w:space="0" w:color="auto"/>
              <w:right w:val="single" w:sz="4" w:space="0" w:color="auto"/>
            </w:tcBorders>
            <w:shd w:val="clear" w:color="auto" w:fill="FFFFFF"/>
          </w:tcPr>
          <w:p w:rsidR="00E14EA8" w:rsidRDefault="006B076D">
            <w:pPr>
              <w:pStyle w:val="a6"/>
              <w:shd w:val="clear" w:color="auto" w:fill="auto"/>
              <w:rPr>
                <w:sz w:val="22"/>
                <w:szCs w:val="22"/>
              </w:rPr>
            </w:pPr>
            <w:r>
              <w:rPr>
                <w:sz w:val="22"/>
                <w:szCs w:val="22"/>
              </w:rPr>
              <w:t>Written exams at the end ofthe course and progress exams during the semester.</w:t>
            </w:r>
          </w:p>
        </w:tc>
      </w:tr>
    </w:tbl>
    <w:p w:rsidR="00E14EA8" w:rsidRDefault="00E14EA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5174"/>
      </w:tblGrid>
      <w:tr w:rsidR="00E14EA8">
        <w:trPr>
          <w:trHeight w:hRule="exact" w:val="2222"/>
          <w:jc w:val="center"/>
        </w:trPr>
        <w:tc>
          <w:tcPr>
            <w:tcW w:w="3312" w:type="dxa"/>
            <w:tcBorders>
              <w:top w:val="single" w:sz="4" w:space="0" w:color="auto"/>
              <w:left w:val="single" w:sz="4" w:space="0" w:color="auto"/>
              <w:bottom w:val="single" w:sz="4" w:space="0" w:color="auto"/>
            </w:tcBorders>
            <w:shd w:val="clear" w:color="auto" w:fill="FFFFFF"/>
          </w:tcPr>
          <w:p w:rsidR="00E14EA8" w:rsidRDefault="006B076D">
            <w:pPr>
              <w:pStyle w:val="a6"/>
              <w:shd w:val="clear" w:color="auto" w:fill="auto"/>
              <w:tabs>
                <w:tab w:val="left" w:pos="1450"/>
                <w:tab w:val="right" w:pos="3077"/>
              </w:tabs>
              <w:jc w:val="both"/>
            </w:pPr>
            <w:r>
              <w:t>Work, Report, Oral Examination, Oral Examination, Public Presentation, Laboratory</w:t>
            </w:r>
            <w:r>
              <w:tab/>
              <w:t>Work,</w:t>
            </w:r>
            <w:r>
              <w:tab/>
              <w:t>Clinical</w:t>
            </w:r>
          </w:p>
          <w:p w:rsidR="00E14EA8" w:rsidRDefault="006B076D">
            <w:pPr>
              <w:pStyle w:val="a6"/>
              <w:shd w:val="clear" w:color="auto" w:fill="auto"/>
              <w:spacing w:after="220"/>
              <w:jc w:val="both"/>
            </w:pPr>
            <w:r>
              <w:t>Examination of a Patient, Artistic Interpretation, Other</w:t>
            </w:r>
          </w:p>
          <w:p w:rsidR="00E14EA8" w:rsidRDefault="006B076D">
            <w:pPr>
              <w:pStyle w:val="a6"/>
              <w:shd w:val="clear" w:color="auto" w:fill="auto"/>
              <w:jc w:val="both"/>
            </w:pPr>
            <w:r>
              <w:t>Explicitly identified assessment criteria are stated and if and where they are accessible to students.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E14EA8" w:rsidRDefault="00E14EA8">
            <w:pPr>
              <w:rPr>
                <w:sz w:val="10"/>
                <w:szCs w:val="10"/>
              </w:rPr>
            </w:pPr>
          </w:p>
        </w:tc>
      </w:tr>
    </w:tbl>
    <w:p w:rsidR="00E14EA8" w:rsidRDefault="006B076D">
      <w:pPr>
        <w:pStyle w:val="a4"/>
        <w:shd w:val="clear" w:color="auto" w:fill="auto"/>
        <w:ind w:left="442"/>
      </w:pPr>
      <w:r>
        <w:lastRenderedPageBreak/>
        <w:t>5. RECOMMENDED-LITERATURE</w:t>
      </w:r>
    </w:p>
    <w:p w:rsidR="00E14EA8" w:rsidRDefault="00E14EA8">
      <w:pPr>
        <w:spacing w:after="219" w:line="1" w:lineRule="exact"/>
      </w:pP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spacing w:after="220"/>
      </w:pPr>
      <w:r>
        <w:t>The basic literature that will be used is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pPr>
      <w:r>
        <w:t>GreekLitarature</w:t>
      </w:r>
    </w:p>
    <w:p w:rsidR="00E14EA8" w:rsidRPr="006B076D"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firstLine="460"/>
        <w:rPr>
          <w:lang w:val="el-GR"/>
        </w:rPr>
      </w:pPr>
      <w:r>
        <w:rPr>
          <w:lang w:val="el-GR" w:eastAsia="el-GR" w:bidi="el-GR"/>
        </w:rPr>
        <w:t xml:space="preserve">Πετράκος Γ - Ψυχάρης Ι, (2016), </w:t>
      </w:r>
      <w:r>
        <w:rPr>
          <w:i/>
          <w:iCs/>
          <w:lang w:val="el-GR" w:eastAsia="el-GR" w:bidi="el-GR"/>
        </w:rPr>
        <w:t>Περιφερειακή ανάπτυξη στην Ελλάδα,</w:t>
      </w:r>
      <w:r>
        <w:rPr>
          <w:lang w:val="el-GR" w:eastAsia="el-GR" w:bidi="el-GR"/>
        </w:rPr>
        <w:t xml:space="preserve"> Εκδόσεις Κριτική.</w:t>
      </w:r>
    </w:p>
    <w:p w:rsidR="00E14EA8" w:rsidRPr="006B076D"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firstLine="460"/>
        <w:rPr>
          <w:lang w:val="el-GR"/>
        </w:rPr>
      </w:pPr>
      <w:r>
        <w:rPr>
          <w:lang w:val="el-GR" w:eastAsia="el-GR" w:bidi="el-GR"/>
        </w:rPr>
        <w:t xml:space="preserve">Πολύζος, Σ., (2011) </w:t>
      </w:r>
      <w:r>
        <w:rPr>
          <w:i/>
          <w:iCs/>
          <w:lang w:val="el-GR" w:eastAsia="el-GR" w:bidi="el-GR"/>
        </w:rPr>
        <w:t>Περιφερειακή Ανάπτυξη</w:t>
      </w:r>
      <w:r>
        <w:rPr>
          <w:lang w:val="el-GR" w:eastAsia="el-GR" w:bidi="el-GR"/>
        </w:rPr>
        <w:t>, Αθήνα, Εκδόσεις Κριτική.</w:t>
      </w:r>
    </w:p>
    <w:p w:rsidR="00E14EA8" w:rsidRPr="006B076D"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left="800" w:hanging="340"/>
        <w:rPr>
          <w:lang w:val="el-GR"/>
        </w:rPr>
      </w:pPr>
      <w:r>
        <w:rPr>
          <w:lang w:val="el-GR" w:eastAsia="el-GR" w:bidi="el-GR"/>
        </w:rPr>
        <w:t xml:space="preserve">Υπουργείο Περιβάλλοντος και Ενέργειεας, (2019) </w:t>
      </w:r>
      <w:r>
        <w:rPr>
          <w:i/>
          <w:iCs/>
          <w:lang w:val="el-GR" w:eastAsia="el-GR" w:bidi="el-GR"/>
        </w:rPr>
        <w:t>Χωροταξία &amp; Αστικό Περιβάλλον, Χωροταξία</w:t>
      </w:r>
      <w:r>
        <w:rPr>
          <w:lang w:val="el-GR" w:eastAsia="el-GR" w:bidi="el-GR"/>
        </w:rPr>
        <w:t xml:space="preserve">, διαθέσιμο στη </w:t>
      </w:r>
      <w:r>
        <w:t>URL</w:t>
      </w:r>
      <w:r w:rsidRPr="006B076D">
        <w:rPr>
          <w:lang w:val="el-GR"/>
        </w:rPr>
        <w:t xml:space="preserve">: </w:t>
      </w:r>
      <w:hyperlink r:id="rId7" w:history="1">
        <w:r>
          <w:t>www</w:t>
        </w:r>
        <w:r w:rsidRPr="006B076D">
          <w:rPr>
            <w:lang w:val="el-GR"/>
          </w:rPr>
          <w:t>.</w:t>
        </w:r>
        <w:r>
          <w:t>ypeka</w:t>
        </w:r>
        <w:r w:rsidRPr="006B076D">
          <w:rPr>
            <w:lang w:val="el-GR"/>
          </w:rPr>
          <w:t>.</w:t>
        </w:r>
        <w:r>
          <w:t>gr</w:t>
        </w:r>
        <w:r w:rsidRPr="006B076D">
          <w:rPr>
            <w:lang w:val="el-GR"/>
          </w:rPr>
          <w:t>/</w:t>
        </w:r>
        <w:r>
          <w:t>Default</w:t>
        </w:r>
        <w:r w:rsidRPr="006B076D">
          <w:rPr>
            <w:lang w:val="el-GR"/>
          </w:rPr>
          <w:t>.</w:t>
        </w:r>
        <w:r>
          <w:t>aspx</w:t>
        </w:r>
        <w:r w:rsidRPr="006B076D">
          <w:rPr>
            <w:lang w:val="el-GR"/>
          </w:rPr>
          <w:t>?</w:t>
        </w:r>
        <w:r>
          <w:t>tabid</w:t>
        </w:r>
        <w:r w:rsidRPr="006B076D">
          <w:rPr>
            <w:lang w:val="el-GR"/>
          </w:rPr>
          <w:t>=228&amp;</w:t>
        </w:r>
        <w:r>
          <w:t>languate</w:t>
        </w:r>
        <w:r w:rsidRPr="006B076D">
          <w:rPr>
            <w:lang w:val="el-GR"/>
          </w:rPr>
          <w:t>=</w:t>
        </w:r>
        <w:r>
          <w:t>el</w:t>
        </w:r>
        <w:r w:rsidRPr="006B076D">
          <w:rPr>
            <w:lang w:val="el-GR"/>
          </w:rPr>
          <w:t>-</w:t>
        </w:r>
        <w:r>
          <w:t>GR</w:t>
        </w:r>
        <w:r w:rsidRPr="006B076D">
          <w:rPr>
            <w:lang w:val="el-GR"/>
          </w:rPr>
          <w:t>.</w:t>
        </w:r>
      </w:hyperlink>
    </w:p>
    <w:p w:rsidR="00E14EA8" w:rsidRPr="006B076D"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spacing w:after="220"/>
        <w:ind w:left="800" w:hanging="340"/>
        <w:rPr>
          <w:lang w:val="el-GR"/>
        </w:rPr>
      </w:pPr>
      <w:r>
        <w:rPr>
          <w:lang w:val="el-GR" w:eastAsia="el-GR" w:bidi="el-GR"/>
        </w:rPr>
        <w:t xml:space="preserve">Σκούντζος Θ., Σπυράτου Ε., (2004) </w:t>
      </w:r>
      <w:r>
        <w:rPr>
          <w:i/>
          <w:iCs/>
          <w:lang w:val="el-GR" w:eastAsia="el-GR" w:bidi="el-GR"/>
        </w:rPr>
        <w:t>Θεσμοί &amp; Πολιτικές Ανάπτυξης της Ευρωπαϊκής Ένωσης - Β ' έκδοση</w:t>
      </w:r>
      <w:r>
        <w:rPr>
          <w:lang w:val="el-GR" w:eastAsia="el-GR" w:bidi="el-GR"/>
        </w:rPr>
        <w:t>, Εκδόσεις Σταμούλη.</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pPr>
      <w:r>
        <w:rPr>
          <w:i/>
          <w:iCs/>
        </w:rPr>
        <w:t>International Literature</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firstLine="460"/>
      </w:pPr>
      <w:r>
        <w:t>Armstrong H. W. and Taylor J. (2000),</w:t>
      </w:r>
      <w:r>
        <w:rPr>
          <w:i/>
          <w:iCs/>
        </w:rPr>
        <w:t>Regional Economics and Policy</w:t>
      </w:r>
      <w:r>
        <w:t>, Oxford: Blackwell</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left="800" w:hanging="340"/>
      </w:pPr>
      <w:r>
        <w:t xml:space="preserve">Amin, A., </w:t>
      </w:r>
      <w:r w:rsidRPr="006B076D">
        <w:rPr>
          <w:lang w:eastAsia="el-GR" w:bidi="el-GR"/>
        </w:rPr>
        <w:t>&amp;</w:t>
      </w:r>
      <w:r>
        <w:t xml:space="preserve">Thrift, N. </w:t>
      </w:r>
      <w:r w:rsidRPr="006B076D">
        <w:rPr>
          <w:lang w:eastAsia="el-GR" w:bidi="el-GR"/>
        </w:rPr>
        <w:t xml:space="preserve">(1995). </w:t>
      </w:r>
      <w:r>
        <w:rPr>
          <w:i/>
          <w:iCs/>
        </w:rPr>
        <w:t>Globalization, institutions, and regional development in Europe</w:t>
      </w:r>
      <w:r>
        <w:t>. Oxford university press.</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left="800" w:hanging="340"/>
      </w:pPr>
      <w:r>
        <w:t xml:space="preserve">Meny, Y., Muller, P., &amp;Quermonne, J. L. (Eds.). (2002). </w:t>
      </w:r>
      <w:r>
        <w:rPr>
          <w:i/>
          <w:iCs/>
        </w:rPr>
        <w:t>Adjusting to Europe: The impact of the European Union on national institutions and policies</w:t>
      </w:r>
      <w:r>
        <w:t>. Routledge.</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spacing w:after="220"/>
        <w:ind w:left="800" w:hanging="340"/>
      </w:pPr>
      <w:r>
        <w:t>Damborg, C., Danson, M., &amp;Halkier, H. (2017).</w:t>
      </w:r>
      <w:r>
        <w:rPr>
          <w:i/>
          <w:iCs/>
        </w:rPr>
        <w:t>Regional development agencies in Europe</w:t>
      </w:r>
      <w:r>
        <w:t>. Routledge.</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pPr>
      <w:r>
        <w:rPr>
          <w:i/>
          <w:iCs/>
        </w:rPr>
        <w:t>Suggested papers</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15"/>
        </w:tabs>
        <w:ind w:left="800" w:hanging="340"/>
      </w:pPr>
      <w:r>
        <w:t xml:space="preserve">Amin, A. (1999). An institutionalist perspective on regional economic development. </w:t>
      </w:r>
      <w:r>
        <w:rPr>
          <w:i/>
          <w:iCs/>
        </w:rPr>
        <w:t>Internationaljournalofurbanandregionalresearch</w:t>
      </w:r>
      <w:r>
        <w:t>, 23(2), 365-378.</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76"/>
        </w:tabs>
        <w:ind w:left="800" w:hanging="340"/>
      </w:pPr>
      <w:r>
        <w:t xml:space="preserve">Rodriguez-Pose, A. (2013). Do institutions matter for regional development? </w:t>
      </w:r>
      <w:r>
        <w:rPr>
          <w:i/>
          <w:iCs/>
        </w:rPr>
        <w:t>Regional Studies</w:t>
      </w:r>
      <w:r>
        <w:t>, 47(7), 1034-1047.</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Lagendijk, A., &amp;Cornford, J. (2000). Regional institutions and knowledge-tracking new forms of regional development policy. </w:t>
      </w:r>
      <w:r>
        <w:rPr>
          <w:i/>
          <w:iCs/>
        </w:rPr>
        <w:t>Geoforum</w:t>
      </w:r>
      <w:r>
        <w:t>, 31(2), 209-218.</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Allmendinger, P., &amp; Haughton, G. (2010). Spatial planning, devolution, and new planning spaces. </w:t>
      </w:r>
      <w:r>
        <w:rPr>
          <w:i/>
          <w:iCs/>
        </w:rPr>
        <w:t>Environment and Planning C: Government and Policy</w:t>
      </w:r>
      <w:r>
        <w:t>, 28(5), 803-818.</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Albrechts, L. (2006). Bridge the gap: From spatial planning to strategic projects. </w:t>
      </w:r>
      <w:r>
        <w:rPr>
          <w:i/>
          <w:iCs/>
        </w:rPr>
        <w:t>European planning studies</w:t>
      </w:r>
      <w:r>
        <w:t>, 14(10), 1487-1500.</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Friedmann, J. (2004). Strategic spatial planning and the longer range. </w:t>
      </w:r>
      <w:r>
        <w:rPr>
          <w:i/>
          <w:iCs/>
        </w:rPr>
        <w:t>Planning Theory &amp; Practice</w:t>
      </w:r>
      <w:r>
        <w:t>, 5(1), 49-67.</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Yeung, H. W. C. (2000). Organizing ‘the firm'in industrial geography I: networks, institutions and regional development. </w:t>
      </w:r>
      <w:r>
        <w:rPr>
          <w:i/>
          <w:iCs/>
        </w:rPr>
        <w:t>Progress in Human Geography</w:t>
      </w:r>
      <w:r>
        <w:t>, 24(2), 301-315.</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Boschma, R., &amp;Frenken, K. (2009). Some notes on institutions in evolutionary economic geography. </w:t>
      </w:r>
      <w:r>
        <w:rPr>
          <w:i/>
          <w:iCs/>
        </w:rPr>
        <w:t>Economic Geography</w:t>
      </w:r>
      <w:r>
        <w:t>, 85(2), 151-158.</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ind w:left="800" w:hanging="340"/>
      </w:pPr>
      <w:r>
        <w:t xml:space="preserve">Tatarkin, A. I., &amp;Kotlyarova, S. N. (2013). Regional development institutions as an economic growth factors. </w:t>
      </w:r>
      <w:r>
        <w:rPr>
          <w:i/>
          <w:iCs/>
        </w:rPr>
        <w:t>Economy of Region</w:t>
      </w:r>
      <w:r>
        <w:t>, 3, 18-26.</w:t>
      </w:r>
    </w:p>
    <w:p w:rsidR="00E14EA8" w:rsidRDefault="006B076D">
      <w:pPr>
        <w:pStyle w:val="11"/>
        <w:numPr>
          <w:ilvl w:val="0"/>
          <w:numId w:val="4"/>
        </w:numPr>
        <w:pBdr>
          <w:top w:val="single" w:sz="4" w:space="0" w:color="auto"/>
          <w:left w:val="single" w:sz="4" w:space="0" w:color="auto"/>
          <w:bottom w:val="single" w:sz="4" w:space="0" w:color="auto"/>
          <w:right w:val="single" w:sz="4" w:space="0" w:color="auto"/>
        </w:pBdr>
        <w:shd w:val="clear" w:color="auto" w:fill="auto"/>
        <w:tabs>
          <w:tab w:val="left" w:pos="881"/>
        </w:tabs>
        <w:spacing w:after="220"/>
        <w:ind w:left="800" w:hanging="340"/>
      </w:pPr>
      <w:r>
        <w:t xml:space="preserve">Dorward, A., Fan, S., Kydd, J., Lofgren, H., Morrison, J., Poulton, C., ...&amp; Urey, I., (2004). Institutions and policies for pro-poor agricultural growth. </w:t>
      </w:r>
      <w:r>
        <w:rPr>
          <w:i/>
          <w:iCs/>
        </w:rPr>
        <w:t>Development Policy Review</w:t>
      </w:r>
      <w:r>
        <w:t>, 22(6), 611-622.</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pPr>
      <w:r>
        <w:rPr>
          <w:i/>
          <w:iCs/>
        </w:rPr>
        <w:t>Otherrelevantindicativeliterature</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15"/>
        </w:tabs>
        <w:spacing w:after="220"/>
        <w:ind w:firstLine="460"/>
        <w:rPr>
          <w:lang w:val="el-GR"/>
        </w:rPr>
      </w:pPr>
      <w:r>
        <w:rPr>
          <w:lang w:val="el-GR" w:eastAsia="el-GR" w:bidi="el-GR"/>
        </w:rPr>
        <w:t xml:space="preserve">Πολύζος, Σ., </w:t>
      </w:r>
      <w:r w:rsidRPr="006B076D">
        <w:rPr>
          <w:lang w:val="el-GR"/>
        </w:rPr>
        <w:t xml:space="preserve">(2015) </w:t>
      </w:r>
      <w:r>
        <w:rPr>
          <w:i/>
          <w:iCs/>
          <w:lang w:val="el-GR" w:eastAsia="el-GR" w:bidi="el-GR"/>
        </w:rPr>
        <w:t>Αστική Ανάπτυξη</w:t>
      </w:r>
      <w:r>
        <w:rPr>
          <w:lang w:val="el-GR" w:eastAsia="el-GR" w:bidi="el-GR"/>
        </w:rPr>
        <w:t>, Αθήνα, Εκδόσεις Κριτική.</w:t>
      </w:r>
    </w:p>
    <w:p w:rsidR="00E14EA8"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pPr>
      <w:r>
        <w:t xml:space="preserve">Pike A., Rodriguez-Pose A. and Tomaney J. (2006), </w:t>
      </w:r>
      <w:r>
        <w:rPr>
          <w:i/>
          <w:iCs/>
        </w:rPr>
        <w:t>Local and Regional Development</w:t>
      </w:r>
      <w:r>
        <w:t>, New York: Routledge.</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rPr>
          <w:lang w:val="el-GR"/>
        </w:rPr>
      </w:pPr>
      <w:r>
        <w:rPr>
          <w:lang w:val="el-GR" w:eastAsia="el-GR" w:bidi="el-GR"/>
        </w:rPr>
        <w:t xml:space="preserve">Κόνσολας, Ν., </w:t>
      </w:r>
      <w:r w:rsidRPr="006B076D">
        <w:rPr>
          <w:lang w:val="el-GR"/>
        </w:rPr>
        <w:t xml:space="preserve">(1997) </w:t>
      </w:r>
      <w:r>
        <w:rPr>
          <w:i/>
          <w:iCs/>
          <w:lang w:val="el-GR" w:eastAsia="el-GR" w:bidi="el-GR"/>
        </w:rPr>
        <w:t>Σύγχρονη Περιφερειακή Οικονομική Πολιτική</w:t>
      </w:r>
      <w:r>
        <w:rPr>
          <w:lang w:val="el-GR" w:eastAsia="el-GR" w:bidi="el-GR"/>
        </w:rPr>
        <w:t>, Εκδόσεις Παπαζήση, Αθήνα.</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rPr>
          <w:lang w:val="el-GR"/>
        </w:rPr>
      </w:pPr>
      <w:r>
        <w:rPr>
          <w:lang w:val="el-GR" w:eastAsia="el-GR" w:bidi="el-GR"/>
        </w:rPr>
        <w:t xml:space="preserve">Γιαννακούρου Γ. </w:t>
      </w:r>
      <w:r w:rsidRPr="006B076D">
        <w:rPr>
          <w:lang w:val="el-GR"/>
        </w:rPr>
        <w:t xml:space="preserve">(2008), </w:t>
      </w:r>
      <w:r>
        <w:rPr>
          <w:i/>
          <w:iCs/>
          <w:lang w:val="el-GR" w:eastAsia="el-GR" w:bidi="el-GR"/>
        </w:rPr>
        <w:t>Η Χωροταξία στην Ευρωπαϊκή Ένωση: Εθνικές πολιτικές και ευρωπαϊκή διακυβέρνηση</w:t>
      </w:r>
      <w:r>
        <w:rPr>
          <w:lang w:val="el-GR" w:eastAsia="el-GR" w:bidi="el-GR"/>
        </w:rPr>
        <w:t>, Εκδόσεις Παπαζήση, Αθήνα.</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rPr>
          <w:lang w:val="el-GR"/>
        </w:rPr>
      </w:pPr>
      <w:r>
        <w:rPr>
          <w:lang w:val="el-GR" w:eastAsia="el-GR" w:bidi="el-GR"/>
        </w:rPr>
        <w:t xml:space="preserve">Καμχής Μ. </w:t>
      </w:r>
      <w:r w:rsidRPr="006B076D">
        <w:rPr>
          <w:lang w:val="el-GR"/>
        </w:rPr>
        <w:t xml:space="preserve">(2007), </w:t>
      </w:r>
      <w:r>
        <w:rPr>
          <w:i/>
          <w:iCs/>
          <w:lang w:val="el-GR" w:eastAsia="el-GR" w:bidi="el-GR"/>
        </w:rPr>
        <w:t xml:space="preserve">Η Ενοποίηση του Ευρωπαϊκού Χώρου </w:t>
      </w:r>
      <w:r w:rsidRPr="006B076D">
        <w:rPr>
          <w:i/>
          <w:iCs/>
          <w:lang w:val="el-GR"/>
        </w:rPr>
        <w:t xml:space="preserve">1986-2006: </w:t>
      </w:r>
      <w:r>
        <w:rPr>
          <w:i/>
          <w:iCs/>
          <w:lang w:val="el-GR" w:eastAsia="el-GR" w:bidi="el-GR"/>
        </w:rPr>
        <w:t>Ένα σχεδιαστικό εγχείρημα μεγάλης κλίμακας</w:t>
      </w:r>
      <w:r>
        <w:rPr>
          <w:lang w:val="el-GR" w:eastAsia="el-GR" w:bidi="el-GR"/>
        </w:rPr>
        <w:t>, Εκδόσεις Κριτική, Αθήνα.</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rPr>
          <w:lang w:val="el-GR"/>
        </w:rPr>
      </w:pPr>
      <w:r>
        <w:rPr>
          <w:lang w:val="el-GR" w:eastAsia="el-GR" w:bidi="el-GR"/>
        </w:rPr>
        <w:t xml:space="preserve">Μπεριάτος, Η., </w:t>
      </w:r>
      <w:r w:rsidRPr="006B076D">
        <w:rPr>
          <w:lang w:val="el-GR"/>
        </w:rPr>
        <w:t xml:space="preserve">(2013) </w:t>
      </w:r>
      <w:r>
        <w:rPr>
          <w:lang w:val="el-GR" w:eastAsia="el-GR" w:bidi="el-GR"/>
        </w:rPr>
        <w:t xml:space="preserve">“Χωροταξικός σχεδιασμός και εδαφικές </w:t>
      </w:r>
      <w:r w:rsidRPr="006B076D">
        <w:rPr>
          <w:lang w:val="el-GR"/>
        </w:rPr>
        <w:t xml:space="preserve">- </w:t>
      </w:r>
      <w:r>
        <w:rPr>
          <w:lang w:val="el-GR" w:eastAsia="el-GR" w:bidi="el-GR"/>
        </w:rPr>
        <w:t xml:space="preserve">διοικητικές δομές: Ζητήματα χωρικής διακυβέρνησης σε τοπική κλίμακα”, πρακτικά του </w:t>
      </w:r>
      <w:r>
        <w:rPr>
          <w:i/>
          <w:iCs/>
          <w:lang w:val="el-GR" w:eastAsia="el-GR" w:bidi="el-GR"/>
        </w:rPr>
        <w:t>11</w:t>
      </w:r>
      <w:r>
        <w:rPr>
          <w:i/>
          <w:iCs/>
          <w:vertAlign w:val="superscript"/>
          <w:lang w:val="el-GR" w:eastAsia="el-GR" w:bidi="el-GR"/>
        </w:rPr>
        <w:t>ου</w:t>
      </w:r>
      <w:r>
        <w:rPr>
          <w:i/>
          <w:iCs/>
          <w:lang w:val="el-GR" w:eastAsia="el-GR" w:bidi="el-GR"/>
        </w:rPr>
        <w:t xml:space="preserve"> Τακτικού επιστημονικού συνεδρίου “Αγροτική οικονομία, ύπαιθρος χώρος, περιφερειακή και τοπική ανάπτυξη” </w:t>
      </w:r>
      <w:r w:rsidRPr="006B076D">
        <w:rPr>
          <w:i/>
          <w:iCs/>
          <w:lang w:val="el-GR"/>
        </w:rPr>
        <w:t>(</w:t>
      </w:r>
      <w:r>
        <w:rPr>
          <w:i/>
          <w:iCs/>
        </w:rPr>
        <w:t>ERSA</w:t>
      </w:r>
      <w:r w:rsidRPr="006B076D">
        <w:rPr>
          <w:i/>
          <w:iCs/>
          <w:lang w:val="el-GR"/>
        </w:rPr>
        <w:t>-</w:t>
      </w:r>
      <w:r>
        <w:rPr>
          <w:i/>
          <w:iCs/>
        </w:rPr>
        <w:t>GR</w:t>
      </w:r>
      <w:r w:rsidRPr="006B076D">
        <w:rPr>
          <w:i/>
          <w:iCs/>
          <w:lang w:val="el-GR"/>
        </w:rPr>
        <w:t>)</w:t>
      </w:r>
      <w:r w:rsidRPr="006B076D">
        <w:rPr>
          <w:lang w:val="el-GR"/>
        </w:rPr>
        <w:t xml:space="preserve">, </w:t>
      </w:r>
      <w:r>
        <w:rPr>
          <w:lang w:val="el-GR" w:eastAsia="el-GR" w:bidi="el-GR"/>
        </w:rPr>
        <w:t xml:space="preserve">Πάτρα, </w:t>
      </w:r>
      <w:r w:rsidRPr="006B076D">
        <w:rPr>
          <w:lang w:val="el-GR"/>
        </w:rPr>
        <w:t xml:space="preserve">14 </w:t>
      </w:r>
      <w:r>
        <w:rPr>
          <w:lang w:val="el-GR" w:eastAsia="el-GR" w:bidi="el-GR"/>
        </w:rPr>
        <w:t xml:space="preserve">έως </w:t>
      </w:r>
      <w:r w:rsidRPr="006B076D">
        <w:rPr>
          <w:lang w:val="el-GR"/>
        </w:rPr>
        <w:t xml:space="preserve">15 </w:t>
      </w:r>
      <w:r>
        <w:rPr>
          <w:lang w:val="el-GR" w:eastAsia="el-GR" w:bidi="el-GR"/>
        </w:rPr>
        <w:t xml:space="preserve">Ιουνίου </w:t>
      </w:r>
      <w:r w:rsidRPr="006B076D">
        <w:rPr>
          <w:lang w:val="el-GR"/>
        </w:rPr>
        <w:t>2013.</w:t>
      </w:r>
    </w:p>
    <w:p w:rsidR="00E14EA8" w:rsidRPr="006B076D"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rPr>
          <w:lang w:val="el-GR"/>
        </w:rPr>
      </w:pPr>
      <w:r>
        <w:rPr>
          <w:lang w:val="el-GR" w:eastAsia="el-GR" w:bidi="el-GR"/>
        </w:rPr>
        <w:lastRenderedPageBreak/>
        <w:t xml:space="preserve">Σκούντζος Θ. </w:t>
      </w:r>
      <w:r w:rsidRPr="006B076D">
        <w:rPr>
          <w:lang w:val="el-GR"/>
        </w:rPr>
        <w:t xml:space="preserve">(1993), </w:t>
      </w:r>
      <w:r>
        <w:rPr>
          <w:i/>
          <w:iCs/>
          <w:lang w:val="el-GR" w:eastAsia="el-GR" w:bidi="el-GR"/>
        </w:rPr>
        <w:t>Περιφερειακή Οικονομική Ανάλυση και Πολιτική</w:t>
      </w:r>
      <w:r>
        <w:rPr>
          <w:lang w:val="el-GR" w:eastAsia="el-GR" w:bidi="el-GR"/>
        </w:rPr>
        <w:t>, Αθήνα, Εκδόσεις Σταμούλη.</w:t>
      </w:r>
    </w:p>
    <w:p w:rsidR="00E14EA8"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29"/>
        </w:tabs>
        <w:ind w:left="800" w:hanging="340"/>
      </w:pPr>
      <w:r>
        <w:t xml:space="preserve">Friedmann, J. (1966). </w:t>
      </w:r>
      <w:r>
        <w:rPr>
          <w:i/>
          <w:iCs/>
        </w:rPr>
        <w:t>Regional development policy: a case study of Venezuela</w:t>
      </w:r>
      <w:r>
        <w:t xml:space="preserve"> (No. HT395. V4 F7).</w:t>
      </w:r>
    </w:p>
    <w:p w:rsidR="00E14EA8" w:rsidRDefault="006B076D">
      <w:pPr>
        <w:pStyle w:val="11"/>
        <w:numPr>
          <w:ilvl w:val="0"/>
          <w:numId w:val="5"/>
        </w:numPr>
        <w:pBdr>
          <w:top w:val="single" w:sz="4" w:space="0" w:color="auto"/>
          <w:left w:val="single" w:sz="4" w:space="0" w:color="auto"/>
          <w:bottom w:val="single" w:sz="4" w:space="0" w:color="auto"/>
          <w:right w:val="single" w:sz="4" w:space="0" w:color="auto"/>
        </w:pBdr>
        <w:shd w:val="clear" w:color="auto" w:fill="auto"/>
        <w:tabs>
          <w:tab w:val="left" w:pos="845"/>
        </w:tabs>
        <w:spacing w:after="220"/>
        <w:ind w:left="800" w:hanging="280"/>
      </w:pPr>
      <w:r>
        <w:t xml:space="preserve">Rodriguez-Pose, A., Di Cataldo, M., &amp;Rainoldi, A. (2014). </w:t>
      </w:r>
      <w:r>
        <w:rPr>
          <w:i/>
          <w:iCs/>
        </w:rPr>
        <w:t>The role of government institutions for smart specialisation and regional development</w:t>
      </w:r>
      <w:r>
        <w:t>. S3 Policy Brief Series, 4.</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pPr>
      <w:r>
        <w:rPr>
          <w:i/>
          <w:iCs/>
        </w:rPr>
        <w:t>Related scientific journals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Environment and Planning C: Government and Policy (SAGE)</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Development Policy Review (Wiley)</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Regional Studies (Taylor &amp; Francis)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European planning studies(Taylor &amp; Francis)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The Annals of Regional Science (Springer)</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Region (ERSA)</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Regional Science Inquiry (H.A.R.S.)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Entrepreneurship and Regional Development (Taylor &amp; Francis)</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Journal of Economic Geography (Oxford)</w:t>
      </w:r>
    </w:p>
    <w:p w:rsidR="00E14EA8" w:rsidRDefault="006B076D">
      <w:pPr>
        <w:pStyle w:val="11"/>
        <w:pBdr>
          <w:top w:val="single" w:sz="4" w:space="0" w:color="auto"/>
          <w:left w:val="single" w:sz="4" w:space="0" w:color="auto"/>
          <w:bottom w:val="single" w:sz="4" w:space="0" w:color="auto"/>
          <w:right w:val="single" w:sz="4" w:space="0" w:color="auto"/>
        </w:pBdr>
        <w:shd w:val="clear" w:color="auto" w:fill="auto"/>
        <w:ind w:firstLine="520"/>
      </w:pPr>
      <w:r>
        <w:t>International Journal of Innovation and Regional Development (Interscience)</w:t>
      </w:r>
    </w:p>
    <w:sectPr w:rsidR="00E14EA8" w:rsidSect="00E14EA8">
      <w:pgSz w:w="11900" w:h="16840"/>
      <w:pgMar w:top="1438" w:right="1431" w:bottom="1268" w:left="1680" w:header="1010" w:footer="8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3E" w:rsidRDefault="0078783E" w:rsidP="00E14EA8">
      <w:r>
        <w:separator/>
      </w:r>
    </w:p>
  </w:endnote>
  <w:endnote w:type="continuationSeparator" w:id="0">
    <w:p w:rsidR="0078783E" w:rsidRDefault="0078783E" w:rsidP="00E1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3E" w:rsidRDefault="0078783E"/>
  </w:footnote>
  <w:footnote w:type="continuationSeparator" w:id="0">
    <w:p w:rsidR="0078783E" w:rsidRDefault="007878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9A8"/>
    <w:multiLevelType w:val="multilevel"/>
    <w:tmpl w:val="240E71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4F71F2"/>
    <w:multiLevelType w:val="multilevel"/>
    <w:tmpl w:val="5A74AF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AE43FF"/>
    <w:multiLevelType w:val="multilevel"/>
    <w:tmpl w:val="8FE6CF00"/>
    <w:lvl w:ilvl="0">
      <w:start w:val="1"/>
      <w:numFmt w:val="bullet"/>
      <w:lvlText w:val="·"/>
      <w:lvlJc w:val="left"/>
      <w:rPr>
        <w:rFonts w:ascii="Calibri" w:eastAsia="Calibri" w:hAnsi="Calibri" w:cs="Calibri"/>
        <w:b w:val="0"/>
        <w:bCs w:val="0"/>
        <w:i/>
        <w:iCs/>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61DA2"/>
    <w:multiLevelType w:val="multilevel"/>
    <w:tmpl w:val="DF66CD1E"/>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CD4438"/>
    <w:multiLevelType w:val="multilevel"/>
    <w:tmpl w:val="A88CA72A"/>
    <w:lvl w:ilvl="0">
      <w:start w:val="1"/>
      <w:numFmt w:val="decimal"/>
      <w:lvlText w:val="%1)"/>
      <w:lvlJc w:val="left"/>
      <w:rPr>
        <w:rFonts w:ascii="Calibri" w:eastAsia="Calibri" w:hAnsi="Calibri" w:cs="Calibri"/>
        <w:b w:val="0"/>
        <w:bCs w:val="0"/>
        <w:i w:val="0"/>
        <w:iCs w:val="0"/>
        <w:smallCaps w:val="0"/>
        <w:strike w:val="0"/>
        <w:color w:val="00206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14EA8"/>
    <w:rsid w:val="004F1BB8"/>
    <w:rsid w:val="0067140C"/>
    <w:rsid w:val="006B076D"/>
    <w:rsid w:val="0078783E"/>
    <w:rsid w:val="007E1EE1"/>
    <w:rsid w:val="00987CB3"/>
    <w:rsid w:val="00AC68A5"/>
    <w:rsid w:val="00AD42D3"/>
    <w:rsid w:val="00AF5C83"/>
    <w:rsid w:val="00D71BF5"/>
    <w:rsid w:val="00DF02FA"/>
    <w:rsid w:val="00E14EA8"/>
    <w:rsid w:val="00F15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DAEDDA5"/>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14E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rsid w:val="00E14EA8"/>
    <w:rPr>
      <w:rFonts w:ascii="Calibri" w:eastAsia="Calibri" w:hAnsi="Calibri" w:cs="Calibri"/>
      <w:b/>
      <w:bCs/>
      <w:i w:val="0"/>
      <w:iCs w:val="0"/>
      <w:smallCaps w:val="0"/>
      <w:strike w:val="0"/>
      <w:sz w:val="24"/>
      <w:szCs w:val="24"/>
      <w:u w:val="none"/>
    </w:rPr>
  </w:style>
  <w:style w:type="character" w:customStyle="1" w:styleId="a3">
    <w:name w:val="Λεζάντα πίνακα_"/>
    <w:basedOn w:val="a0"/>
    <w:link w:val="a4"/>
    <w:rsid w:val="00E14EA8"/>
    <w:rPr>
      <w:rFonts w:ascii="Calibri" w:eastAsia="Calibri" w:hAnsi="Calibri" w:cs="Calibri"/>
      <w:b/>
      <w:bCs/>
      <w:i w:val="0"/>
      <w:iCs w:val="0"/>
      <w:smallCaps w:val="0"/>
      <w:strike w:val="0"/>
      <w:sz w:val="22"/>
      <w:szCs w:val="22"/>
      <w:u w:val="none"/>
    </w:rPr>
  </w:style>
  <w:style w:type="character" w:customStyle="1" w:styleId="a5">
    <w:name w:val="Άλλα_"/>
    <w:basedOn w:val="a0"/>
    <w:link w:val="a6"/>
    <w:rsid w:val="00E14EA8"/>
    <w:rPr>
      <w:rFonts w:ascii="Calibri" w:eastAsia="Calibri" w:hAnsi="Calibri" w:cs="Calibri"/>
      <w:b w:val="0"/>
      <w:bCs w:val="0"/>
      <w:i w:val="0"/>
      <w:iCs w:val="0"/>
      <w:smallCaps w:val="0"/>
      <w:strike w:val="0"/>
      <w:sz w:val="20"/>
      <w:szCs w:val="20"/>
      <w:u w:val="none"/>
    </w:rPr>
  </w:style>
  <w:style w:type="character" w:customStyle="1" w:styleId="a7">
    <w:name w:val="Σώμα κειμένου_"/>
    <w:basedOn w:val="a0"/>
    <w:link w:val="11"/>
    <w:rsid w:val="00E14EA8"/>
    <w:rPr>
      <w:rFonts w:ascii="Calibri" w:eastAsia="Calibri" w:hAnsi="Calibri" w:cs="Calibri"/>
      <w:b w:val="0"/>
      <w:bCs w:val="0"/>
      <w:i w:val="0"/>
      <w:iCs w:val="0"/>
      <w:smallCaps w:val="0"/>
      <w:strike w:val="0"/>
      <w:sz w:val="20"/>
      <w:szCs w:val="20"/>
      <w:u w:val="none"/>
    </w:rPr>
  </w:style>
  <w:style w:type="character" w:customStyle="1" w:styleId="3">
    <w:name w:val="Σώμα κειμένου (3)_"/>
    <w:basedOn w:val="a0"/>
    <w:link w:val="30"/>
    <w:rsid w:val="00E14EA8"/>
    <w:rPr>
      <w:rFonts w:ascii="Calibri" w:eastAsia="Calibri" w:hAnsi="Calibri" w:cs="Calibri"/>
      <w:b w:val="0"/>
      <w:bCs w:val="0"/>
      <w:i/>
      <w:iCs/>
      <w:smallCaps w:val="0"/>
      <w:strike w:val="0"/>
      <w:sz w:val="16"/>
      <w:szCs w:val="16"/>
      <w:u w:val="none"/>
    </w:rPr>
  </w:style>
  <w:style w:type="character" w:customStyle="1" w:styleId="31">
    <w:name w:val="Επικεφαλίδα #3_"/>
    <w:basedOn w:val="a0"/>
    <w:link w:val="32"/>
    <w:rsid w:val="00E14EA8"/>
    <w:rPr>
      <w:rFonts w:ascii="Calibri" w:eastAsia="Calibri" w:hAnsi="Calibri" w:cs="Calibri"/>
      <w:b/>
      <w:bCs/>
      <w:i w:val="0"/>
      <w:iCs w:val="0"/>
      <w:smallCaps w:val="0"/>
      <w:strike w:val="0"/>
      <w:sz w:val="22"/>
      <w:szCs w:val="22"/>
      <w:u w:val="none"/>
    </w:rPr>
  </w:style>
  <w:style w:type="character" w:customStyle="1" w:styleId="4">
    <w:name w:val="Επικεφαλίδα #4_"/>
    <w:basedOn w:val="a0"/>
    <w:link w:val="40"/>
    <w:rsid w:val="00E14EA8"/>
    <w:rPr>
      <w:rFonts w:ascii="Calibri" w:eastAsia="Calibri" w:hAnsi="Calibri" w:cs="Calibri"/>
      <w:b/>
      <w:bCs/>
      <w:i w:val="0"/>
      <w:iCs w:val="0"/>
      <w:smallCaps w:val="0"/>
      <w:strike w:val="0"/>
      <w:sz w:val="20"/>
      <w:szCs w:val="20"/>
      <w:u w:val="none"/>
    </w:rPr>
  </w:style>
  <w:style w:type="character" w:customStyle="1" w:styleId="2">
    <w:name w:val="Επικεφαλίδα #2_"/>
    <w:basedOn w:val="a0"/>
    <w:link w:val="20"/>
    <w:rsid w:val="00E14EA8"/>
    <w:rPr>
      <w:rFonts w:ascii="Calibri" w:eastAsia="Calibri" w:hAnsi="Calibri" w:cs="Calibri"/>
      <w:b w:val="0"/>
      <w:bCs w:val="0"/>
      <w:i w:val="0"/>
      <w:iCs w:val="0"/>
      <w:smallCaps w:val="0"/>
      <w:strike w:val="0"/>
      <w:color w:val="002060"/>
      <w:sz w:val="24"/>
      <w:szCs w:val="24"/>
      <w:u w:val="none"/>
    </w:rPr>
  </w:style>
  <w:style w:type="character" w:customStyle="1" w:styleId="21">
    <w:name w:val="Σώμα κειμένου (2)_"/>
    <w:basedOn w:val="a0"/>
    <w:link w:val="22"/>
    <w:rsid w:val="00E14EA8"/>
    <w:rPr>
      <w:rFonts w:ascii="Calibri" w:eastAsia="Calibri" w:hAnsi="Calibri" w:cs="Calibri"/>
      <w:b w:val="0"/>
      <w:bCs w:val="0"/>
      <w:i w:val="0"/>
      <w:iCs w:val="0"/>
      <w:smallCaps w:val="0"/>
      <w:strike w:val="0"/>
      <w:color w:val="002060"/>
      <w:sz w:val="24"/>
      <w:szCs w:val="24"/>
      <w:u w:val="none"/>
    </w:rPr>
  </w:style>
  <w:style w:type="paragraph" w:customStyle="1" w:styleId="10">
    <w:name w:val="Επικεφαλίδα #1"/>
    <w:basedOn w:val="a"/>
    <w:link w:val="1"/>
    <w:rsid w:val="00E14EA8"/>
    <w:pPr>
      <w:shd w:val="clear" w:color="auto" w:fill="FFFFFF"/>
      <w:spacing w:after="140"/>
      <w:jc w:val="center"/>
      <w:outlineLvl w:val="0"/>
    </w:pPr>
    <w:rPr>
      <w:rFonts w:ascii="Calibri" w:eastAsia="Calibri" w:hAnsi="Calibri" w:cs="Calibri"/>
      <w:b/>
      <w:bCs/>
    </w:rPr>
  </w:style>
  <w:style w:type="paragraph" w:customStyle="1" w:styleId="a4">
    <w:name w:val="Λεζάντα πίνακα"/>
    <w:basedOn w:val="a"/>
    <w:link w:val="a3"/>
    <w:rsid w:val="00E14EA8"/>
    <w:pPr>
      <w:shd w:val="clear" w:color="auto" w:fill="FFFFFF"/>
    </w:pPr>
    <w:rPr>
      <w:rFonts w:ascii="Calibri" w:eastAsia="Calibri" w:hAnsi="Calibri" w:cs="Calibri"/>
      <w:b/>
      <w:bCs/>
      <w:sz w:val="22"/>
      <w:szCs w:val="22"/>
    </w:rPr>
  </w:style>
  <w:style w:type="paragraph" w:customStyle="1" w:styleId="a6">
    <w:name w:val="Άλλα"/>
    <w:basedOn w:val="a"/>
    <w:link w:val="a5"/>
    <w:rsid w:val="00E14EA8"/>
    <w:pPr>
      <w:shd w:val="clear" w:color="auto" w:fill="FFFFFF"/>
    </w:pPr>
    <w:rPr>
      <w:rFonts w:ascii="Calibri" w:eastAsia="Calibri" w:hAnsi="Calibri" w:cs="Calibri"/>
      <w:sz w:val="20"/>
      <w:szCs w:val="20"/>
    </w:rPr>
  </w:style>
  <w:style w:type="paragraph" w:customStyle="1" w:styleId="11">
    <w:name w:val="Σώμα κειμένου1"/>
    <w:basedOn w:val="a"/>
    <w:link w:val="a7"/>
    <w:rsid w:val="00E14EA8"/>
    <w:pPr>
      <w:shd w:val="clear" w:color="auto" w:fill="FFFFFF"/>
    </w:pPr>
    <w:rPr>
      <w:rFonts w:ascii="Calibri" w:eastAsia="Calibri" w:hAnsi="Calibri" w:cs="Calibri"/>
      <w:sz w:val="20"/>
      <w:szCs w:val="20"/>
    </w:rPr>
  </w:style>
  <w:style w:type="paragraph" w:customStyle="1" w:styleId="30">
    <w:name w:val="Σώμα κειμένου (3)"/>
    <w:basedOn w:val="a"/>
    <w:link w:val="3"/>
    <w:rsid w:val="00E14EA8"/>
    <w:pPr>
      <w:shd w:val="clear" w:color="auto" w:fill="FFFFFF"/>
      <w:spacing w:after="40"/>
    </w:pPr>
    <w:rPr>
      <w:rFonts w:ascii="Calibri" w:eastAsia="Calibri" w:hAnsi="Calibri" w:cs="Calibri"/>
      <w:i/>
      <w:iCs/>
      <w:sz w:val="16"/>
      <w:szCs w:val="16"/>
    </w:rPr>
  </w:style>
  <w:style w:type="paragraph" w:customStyle="1" w:styleId="32">
    <w:name w:val="Επικεφαλίδα #3"/>
    <w:basedOn w:val="a"/>
    <w:link w:val="31"/>
    <w:rsid w:val="00E14EA8"/>
    <w:pPr>
      <w:shd w:val="clear" w:color="auto" w:fill="FFFFFF"/>
      <w:spacing w:after="130"/>
      <w:ind w:firstLine="330"/>
      <w:outlineLvl w:val="2"/>
    </w:pPr>
    <w:rPr>
      <w:rFonts w:ascii="Calibri" w:eastAsia="Calibri" w:hAnsi="Calibri" w:cs="Calibri"/>
      <w:b/>
      <w:bCs/>
      <w:sz w:val="22"/>
      <w:szCs w:val="22"/>
    </w:rPr>
  </w:style>
  <w:style w:type="paragraph" w:customStyle="1" w:styleId="40">
    <w:name w:val="Επικεφαλίδα #4"/>
    <w:basedOn w:val="a"/>
    <w:link w:val="4"/>
    <w:rsid w:val="00E14EA8"/>
    <w:pPr>
      <w:shd w:val="clear" w:color="auto" w:fill="FFFFFF"/>
      <w:ind w:firstLine="360"/>
      <w:outlineLvl w:val="3"/>
    </w:pPr>
    <w:rPr>
      <w:rFonts w:ascii="Calibri" w:eastAsia="Calibri" w:hAnsi="Calibri" w:cs="Calibri"/>
      <w:b/>
      <w:bCs/>
      <w:sz w:val="20"/>
      <w:szCs w:val="20"/>
    </w:rPr>
  </w:style>
  <w:style w:type="paragraph" w:customStyle="1" w:styleId="20">
    <w:name w:val="Επικεφαλίδα #2"/>
    <w:basedOn w:val="a"/>
    <w:link w:val="2"/>
    <w:rsid w:val="00E14EA8"/>
    <w:pPr>
      <w:shd w:val="clear" w:color="auto" w:fill="FFFFFF"/>
      <w:spacing w:line="216" w:lineRule="auto"/>
      <w:ind w:firstLine="200"/>
      <w:outlineLvl w:val="1"/>
    </w:pPr>
    <w:rPr>
      <w:rFonts w:ascii="Calibri" w:eastAsia="Calibri" w:hAnsi="Calibri" w:cs="Calibri"/>
      <w:color w:val="002060"/>
    </w:rPr>
  </w:style>
  <w:style w:type="paragraph" w:customStyle="1" w:styleId="22">
    <w:name w:val="Σώμα κειμένου (2)"/>
    <w:basedOn w:val="a"/>
    <w:link w:val="21"/>
    <w:rsid w:val="00E14EA8"/>
    <w:pPr>
      <w:shd w:val="clear" w:color="auto" w:fill="FFFFFF"/>
      <w:ind w:left="440" w:hanging="200"/>
    </w:pPr>
    <w:rPr>
      <w:rFonts w:ascii="Calibri" w:eastAsia="Calibri" w:hAnsi="Calibri" w:cs="Calibri"/>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peka.gr/Default.aspx?tabid=228&amp;languate=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12075</Characters>
  <Application>Microsoft Office Word</Application>
  <DocSecurity>0</DocSecurity>
  <Lines>208</Lines>
  <Paragraphs>92</Paragraphs>
  <ScaleCrop>false</ScaleCrop>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4</cp:revision>
  <dcterms:created xsi:type="dcterms:W3CDTF">2024-01-26T08:47:00Z</dcterms:created>
  <dcterms:modified xsi:type="dcterms:W3CDTF">2024-05-13T13:53:00Z</dcterms:modified>
</cp:coreProperties>
</file>