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D612B"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D612B"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58BC83A9" w:rsidR="00B14B74" w:rsidRPr="00AF7612" w:rsidRDefault="00DE1DFB" w:rsidP="00695A2D">
            <w:pPr>
              <w:rPr>
                <w:rFonts w:ascii="Calibri" w:hAnsi="Calibri" w:cs="Arial"/>
                <w:color w:val="002060"/>
                <w:sz w:val="16"/>
                <w:szCs w:val="16"/>
              </w:rPr>
            </w:pPr>
            <w:r w:rsidRPr="00DE1DFB">
              <w:rPr>
                <w:rFonts w:ascii="Calibri" w:hAnsi="Calibri" w:cs="Arial"/>
                <w:color w:val="002060"/>
                <w:sz w:val="22"/>
                <w:szCs w:val="22"/>
                <w:lang w:val="el-GR"/>
              </w:rPr>
              <w:t>ΠΟΑ</w:t>
            </w:r>
            <w:r w:rsidR="00695A2D">
              <w:rPr>
                <w:rFonts w:ascii="Calibri" w:hAnsi="Calibri" w:cs="Arial"/>
                <w:color w:val="002060"/>
                <w:sz w:val="22"/>
                <w:szCs w:val="22"/>
                <w:lang w:val="el-GR"/>
              </w:rPr>
              <w:t>4701</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2BF7F24C" w:rsidR="00B14B74" w:rsidRPr="003A7E48" w:rsidRDefault="00650E8F" w:rsidP="00730C79">
            <w:pPr>
              <w:rPr>
                <w:rFonts w:ascii="Calibri" w:hAnsi="Calibri" w:cs="Arial"/>
                <w:color w:val="002060"/>
                <w:sz w:val="22"/>
                <w:szCs w:val="22"/>
                <w:lang w:val="el-GR"/>
              </w:rPr>
            </w:pPr>
            <w:r>
              <w:rPr>
                <w:rFonts w:ascii="Calibri" w:hAnsi="Calibri" w:cs="Arial"/>
                <w:color w:val="002060"/>
                <w:sz w:val="22"/>
                <w:szCs w:val="22"/>
              </w:rPr>
              <w:t>7</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DE1DFB"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01FD8CCB" w14:textId="77777777" w:rsidR="00B14B74" w:rsidRDefault="00695A2D" w:rsidP="00810613">
            <w:pPr>
              <w:rPr>
                <w:rFonts w:ascii="Calibri" w:hAnsi="Calibri" w:cs="Arial"/>
                <w:color w:val="002060"/>
                <w:sz w:val="22"/>
                <w:szCs w:val="22"/>
                <w:lang w:val="el-GR"/>
              </w:rPr>
            </w:pPr>
            <w:r w:rsidRPr="00695A2D">
              <w:rPr>
                <w:rFonts w:ascii="Calibri" w:hAnsi="Calibri" w:cs="Arial"/>
                <w:color w:val="002060"/>
                <w:sz w:val="22"/>
                <w:szCs w:val="22"/>
                <w:lang w:val="el-GR"/>
              </w:rPr>
              <w:t>Χρηματοοικονομική Διοίκηση Επιχειρήσεων</w:t>
            </w:r>
          </w:p>
          <w:p w14:paraId="41D7A668" w14:textId="744B25FF" w:rsidR="001066EB" w:rsidRPr="003A7E48" w:rsidRDefault="001066EB" w:rsidP="00810613">
            <w:pPr>
              <w:rPr>
                <w:rFonts w:ascii="Calibri" w:hAnsi="Calibri" w:cs="Arial"/>
                <w:color w:val="002060"/>
                <w:sz w:val="22"/>
                <w:szCs w:val="22"/>
                <w:lang w:val="el-GR"/>
              </w:rPr>
            </w:pPr>
          </w:p>
        </w:tc>
      </w:tr>
      <w:tr w:rsidR="006A612F" w:rsidRPr="00DE1DFB" w14:paraId="5B00C3C0" w14:textId="77777777" w:rsidTr="009B7F11">
        <w:trPr>
          <w:trHeight w:val="375"/>
        </w:trPr>
        <w:tc>
          <w:tcPr>
            <w:tcW w:w="2690" w:type="dxa"/>
            <w:shd w:val="clear" w:color="auto" w:fill="DDD9C3"/>
            <w:vAlign w:val="center"/>
          </w:tcPr>
          <w:p w14:paraId="09025003" w14:textId="223B227C" w:rsidR="006A612F" w:rsidRPr="00705AAD" w:rsidRDefault="00F14DEA" w:rsidP="006A612F">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14:paraId="38C43A63" w14:textId="7AF11AC3" w:rsidR="002D612B" w:rsidRPr="00695A2D" w:rsidRDefault="00C405FF" w:rsidP="006A612F">
            <w:pPr>
              <w:rPr>
                <w:rFonts w:ascii="Calibri" w:hAnsi="Calibri" w:cs="Arial"/>
                <w:color w:val="002060"/>
                <w:sz w:val="22"/>
                <w:szCs w:val="22"/>
                <w:lang w:val="el-GR"/>
              </w:rPr>
            </w:pPr>
            <w:r>
              <w:rPr>
                <w:rFonts w:ascii="Calibri" w:hAnsi="Calibri" w:cs="Arial"/>
                <w:color w:val="002060"/>
                <w:sz w:val="22"/>
                <w:szCs w:val="22"/>
                <w:lang w:val="el-GR"/>
              </w:rPr>
              <w:t>ΣΩΤΗΡΗΣ ΤΡΙΓΚΑΣ</w:t>
            </w:r>
          </w:p>
        </w:tc>
      </w:tr>
      <w:tr w:rsidR="006A612F" w:rsidRPr="00DE1DFB" w14:paraId="0DC9745D" w14:textId="77777777" w:rsidTr="009B7F11">
        <w:trPr>
          <w:trHeight w:val="375"/>
        </w:trPr>
        <w:tc>
          <w:tcPr>
            <w:tcW w:w="2690" w:type="dxa"/>
            <w:shd w:val="clear" w:color="auto" w:fill="DDD9C3"/>
            <w:vAlign w:val="center"/>
          </w:tcPr>
          <w:p w14:paraId="6F2419E5" w14:textId="443A964F" w:rsidR="006A612F" w:rsidRPr="00705AAD" w:rsidRDefault="006A612F" w:rsidP="006A612F">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7024978" w14:textId="77777777" w:rsidR="006A612F" w:rsidRPr="00695A2D" w:rsidRDefault="006A612F" w:rsidP="006A612F">
            <w:pPr>
              <w:rPr>
                <w:rFonts w:ascii="Calibri" w:hAnsi="Calibri" w:cs="Arial"/>
                <w:color w:val="002060"/>
                <w:sz w:val="22"/>
                <w:szCs w:val="22"/>
                <w:lang w:val="el-GR"/>
              </w:rPr>
            </w:pPr>
          </w:p>
        </w:tc>
      </w:tr>
      <w:tr w:rsidR="006A612F" w:rsidRPr="00DE1DFB" w14:paraId="47328FB9" w14:textId="77777777" w:rsidTr="009B7F11">
        <w:trPr>
          <w:trHeight w:val="375"/>
        </w:trPr>
        <w:tc>
          <w:tcPr>
            <w:tcW w:w="2690" w:type="dxa"/>
            <w:shd w:val="clear" w:color="auto" w:fill="DDD9C3"/>
            <w:vAlign w:val="center"/>
          </w:tcPr>
          <w:p w14:paraId="5EEE4100" w14:textId="16A53163" w:rsidR="006A612F" w:rsidRPr="00705AAD" w:rsidRDefault="006A612F" w:rsidP="006A612F">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54084C6" w14:textId="77777777" w:rsidR="006A612F" w:rsidRPr="00695A2D" w:rsidRDefault="006A612F" w:rsidP="006A612F">
            <w:pPr>
              <w:rPr>
                <w:rFonts w:ascii="Calibri" w:hAnsi="Calibri" w:cs="Arial"/>
                <w:color w:val="002060"/>
                <w:sz w:val="22"/>
                <w:szCs w:val="22"/>
                <w:lang w:val="el-GR"/>
              </w:rPr>
            </w:pP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0EBF6E64" w:rsidR="00B14B74" w:rsidRPr="00A628DE" w:rsidRDefault="003F4715"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2D612B"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1DFB"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780A0C4B" w:rsidR="00B14B74" w:rsidRPr="004E2C8A" w:rsidRDefault="00DE1DFB" w:rsidP="00650E8F">
            <w:pPr>
              <w:rPr>
                <w:rFonts w:ascii="Calibri" w:hAnsi="Calibri" w:cs="Arial"/>
                <w:color w:val="002060"/>
                <w:lang w:val="el-GR"/>
              </w:rPr>
            </w:pPr>
            <w:r w:rsidRPr="00DE1DFB">
              <w:rPr>
                <w:rFonts w:ascii="Calibri" w:hAnsi="Calibri" w:cs="Arial"/>
                <w:color w:val="002060"/>
                <w:sz w:val="22"/>
                <w:szCs w:val="22"/>
                <w:lang w:val="el-GR"/>
              </w:rPr>
              <w:t xml:space="preserve">Μάθημα </w:t>
            </w:r>
            <w:r w:rsidR="00650E8F">
              <w:rPr>
                <w:rFonts w:ascii="Calibri" w:hAnsi="Calibri" w:cs="Arial"/>
                <w:color w:val="002060"/>
                <w:sz w:val="22"/>
                <w:szCs w:val="22"/>
                <w:lang w:val="el-GR"/>
              </w:rPr>
              <w:t>υποβάθρου</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1D03E1"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0EB797C5" w:rsidR="00B14B74" w:rsidRPr="003C7E34" w:rsidRDefault="004D34B5" w:rsidP="00A628DE">
            <w:pPr>
              <w:rPr>
                <w:rFonts w:ascii="Calibri" w:hAnsi="Calibri" w:cs="Arial"/>
                <w:color w:val="FF0000"/>
                <w:lang w:val="el-GR"/>
              </w:rPr>
            </w:pPr>
            <w:r>
              <w:rPr>
                <w:rFonts w:ascii="Calibri" w:hAnsi="Calibri" w:cs="Arial"/>
                <w:color w:val="002060"/>
                <w:sz w:val="22"/>
                <w:szCs w:val="22"/>
                <w:lang w:val="el-GR"/>
              </w:rPr>
              <w:t>Ό</w:t>
            </w:r>
            <w:r w:rsidRPr="004D34B5">
              <w:rPr>
                <w:rFonts w:ascii="Calibri" w:hAnsi="Calibri" w:cs="Arial"/>
                <w:color w:val="002060"/>
                <w:sz w:val="22"/>
                <w:szCs w:val="22"/>
                <w:lang w:val="el-GR"/>
              </w:rPr>
              <w:t>χι</w:t>
            </w:r>
          </w:p>
        </w:tc>
      </w:tr>
      <w:tr w:rsidR="00B14B74" w:rsidRPr="002D612B"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A4BB112" w:rsidR="00B14B74" w:rsidRPr="009B7F11" w:rsidRDefault="006A612F"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D612B"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D612B" w14:paraId="633B7738" w14:textId="77777777" w:rsidTr="00290D59">
        <w:tc>
          <w:tcPr>
            <w:tcW w:w="8364" w:type="dxa"/>
            <w:gridSpan w:val="2"/>
          </w:tcPr>
          <w:p w14:paraId="4BFDB2A3" w14:textId="77777777" w:rsidR="004D34B5" w:rsidRPr="00175CBA" w:rsidRDefault="004D34B5" w:rsidP="004D34B5">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Pr="00175CBA">
              <w:rPr>
                <w:rFonts w:asciiTheme="minorHAnsi" w:hAnsiTheme="minorHAnsi" w:cstheme="minorHAnsi"/>
                <w:i/>
                <w:iCs/>
                <w:color w:val="002060"/>
                <w:sz w:val="20"/>
                <w:szCs w:val="20"/>
                <w:u w:val="single"/>
              </w:rPr>
              <w:t>:</w:t>
            </w:r>
          </w:p>
          <w:p w14:paraId="3A837AD0" w14:textId="1F843AE7" w:rsidR="00650E8F" w:rsidRPr="001D03E1" w:rsidRDefault="0096758C" w:rsidP="001D03E1">
            <w:pPr>
              <w:pStyle w:val="ListParagraph"/>
              <w:numPr>
                <w:ilvl w:val="0"/>
                <w:numId w:val="43"/>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 xml:space="preserve">Να </w:t>
            </w:r>
            <w:r w:rsidR="00F652A9" w:rsidRPr="001D03E1">
              <w:rPr>
                <w:rFonts w:asciiTheme="minorHAnsi" w:hAnsiTheme="minorHAnsi" w:cstheme="minorHAnsi"/>
                <w:color w:val="1F497D" w:themeColor="text2"/>
                <w:sz w:val="20"/>
                <w:szCs w:val="20"/>
                <w:lang w:val="el-GR"/>
              </w:rPr>
              <w:t>κ</w:t>
            </w:r>
            <w:r w:rsidR="00650E8F" w:rsidRPr="001D03E1">
              <w:rPr>
                <w:rFonts w:asciiTheme="minorHAnsi" w:hAnsiTheme="minorHAnsi" w:cstheme="minorHAnsi"/>
                <w:color w:val="1F497D" w:themeColor="text2"/>
                <w:sz w:val="20"/>
                <w:szCs w:val="20"/>
                <w:lang w:val="el-GR"/>
              </w:rPr>
              <w:t>αταν</w:t>
            </w:r>
            <w:r w:rsidR="00F652A9" w:rsidRPr="001D03E1">
              <w:rPr>
                <w:rFonts w:asciiTheme="minorHAnsi" w:hAnsiTheme="minorHAnsi" w:cstheme="minorHAnsi"/>
                <w:color w:val="1F497D" w:themeColor="text2"/>
                <w:sz w:val="20"/>
                <w:szCs w:val="20"/>
                <w:lang w:val="el-GR"/>
              </w:rPr>
              <w:t xml:space="preserve">οούν τις θεμελιώδεις </w:t>
            </w:r>
            <w:r w:rsidR="00650E8F" w:rsidRPr="001D03E1">
              <w:rPr>
                <w:rFonts w:asciiTheme="minorHAnsi" w:hAnsiTheme="minorHAnsi" w:cstheme="minorHAnsi"/>
                <w:color w:val="1F497D" w:themeColor="text2"/>
                <w:sz w:val="20"/>
                <w:szCs w:val="20"/>
                <w:lang w:val="el-GR"/>
              </w:rPr>
              <w:t>αρχ</w:t>
            </w:r>
            <w:r w:rsidR="00F652A9" w:rsidRPr="001D03E1">
              <w:rPr>
                <w:rFonts w:asciiTheme="minorHAnsi" w:hAnsiTheme="minorHAnsi" w:cstheme="minorHAnsi"/>
                <w:color w:val="1F497D" w:themeColor="text2"/>
                <w:sz w:val="20"/>
                <w:szCs w:val="20"/>
                <w:lang w:val="el-GR"/>
              </w:rPr>
              <w:t xml:space="preserve">ές </w:t>
            </w:r>
            <w:r w:rsidR="00650E8F" w:rsidRPr="001D03E1">
              <w:rPr>
                <w:rFonts w:asciiTheme="minorHAnsi" w:hAnsiTheme="minorHAnsi" w:cstheme="minorHAnsi"/>
                <w:color w:val="1F497D" w:themeColor="text2"/>
                <w:sz w:val="20"/>
                <w:szCs w:val="20"/>
                <w:lang w:val="el-GR"/>
              </w:rPr>
              <w:t>και μεθ</w:t>
            </w:r>
            <w:r w:rsidR="00F652A9" w:rsidRPr="001D03E1">
              <w:rPr>
                <w:rFonts w:asciiTheme="minorHAnsi" w:hAnsiTheme="minorHAnsi" w:cstheme="minorHAnsi"/>
                <w:color w:val="1F497D" w:themeColor="text2"/>
                <w:sz w:val="20"/>
                <w:szCs w:val="20"/>
                <w:lang w:val="el-GR"/>
              </w:rPr>
              <w:t xml:space="preserve">όδους </w:t>
            </w:r>
            <w:r w:rsidR="00650E8F" w:rsidRPr="001D03E1">
              <w:rPr>
                <w:rFonts w:asciiTheme="minorHAnsi" w:hAnsiTheme="minorHAnsi" w:cstheme="minorHAnsi"/>
                <w:color w:val="1F497D" w:themeColor="text2"/>
                <w:sz w:val="20"/>
                <w:szCs w:val="20"/>
                <w:lang w:val="el-GR"/>
              </w:rPr>
              <w:t>χρηματοοικονομικής λειτουργίας</w:t>
            </w:r>
            <w:r w:rsidR="00F652A9" w:rsidRPr="001D03E1">
              <w:rPr>
                <w:rFonts w:asciiTheme="minorHAnsi" w:hAnsiTheme="minorHAnsi" w:cstheme="minorHAnsi"/>
                <w:color w:val="1F497D" w:themeColor="text2"/>
                <w:sz w:val="20"/>
                <w:szCs w:val="20"/>
                <w:lang w:val="el-GR"/>
              </w:rPr>
              <w:t>,</w:t>
            </w:r>
          </w:p>
          <w:p w14:paraId="627C5806" w14:textId="6380C2E6" w:rsidR="004D34B5" w:rsidRPr="004D34B5" w:rsidRDefault="004D34B5" w:rsidP="004D34B5">
            <w:pPr>
              <w:pStyle w:val="ListParagraph"/>
              <w:numPr>
                <w:ilvl w:val="0"/>
                <w:numId w:val="43"/>
              </w:numPr>
              <w:jc w:val="both"/>
              <w:rPr>
                <w:rFonts w:asciiTheme="minorHAnsi" w:hAnsiTheme="minorHAnsi" w:cstheme="minorHAnsi"/>
                <w:i/>
                <w:iCs/>
                <w:color w:val="002060"/>
                <w:sz w:val="20"/>
                <w:szCs w:val="20"/>
                <w:u w:val="single"/>
                <w:lang w:val="el-GR"/>
              </w:rPr>
            </w:pPr>
            <w:r w:rsidRPr="001D03E1">
              <w:rPr>
                <w:rFonts w:asciiTheme="minorHAnsi" w:hAnsiTheme="minorHAnsi" w:cstheme="minorHAnsi"/>
                <w:color w:val="1F497D" w:themeColor="text2"/>
                <w:sz w:val="20"/>
                <w:szCs w:val="20"/>
                <w:lang w:val="el-GR"/>
              </w:rPr>
              <w:t>Να εμβαθύνουν στη λειτουργία των διεθνών χρηματοοικονομικών αγορών και θεσμών</w:t>
            </w:r>
          </w:p>
          <w:p w14:paraId="7E1B8F15" w14:textId="024D171D" w:rsidR="004D34B5" w:rsidRPr="00B74383" w:rsidRDefault="004D34B5" w:rsidP="004D34B5">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610B468A" w14:textId="6B8525D9" w:rsidR="00650E8F" w:rsidRPr="001D03E1" w:rsidRDefault="00F652A9" w:rsidP="001D03E1">
            <w:pPr>
              <w:pStyle w:val="ListParagraph"/>
              <w:numPr>
                <w:ilvl w:val="0"/>
                <w:numId w:val="43"/>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Να εφαρμόζουν άριστ</w:t>
            </w:r>
            <w:r w:rsidR="004D34B5">
              <w:rPr>
                <w:rFonts w:asciiTheme="minorHAnsi" w:hAnsiTheme="minorHAnsi" w:cstheme="minorHAnsi"/>
                <w:color w:val="1F497D" w:themeColor="text2"/>
                <w:sz w:val="20"/>
                <w:szCs w:val="20"/>
                <w:lang w:val="el-GR"/>
              </w:rPr>
              <w:t>ε</w:t>
            </w:r>
            <w:r w:rsidRPr="001D03E1">
              <w:rPr>
                <w:rFonts w:asciiTheme="minorHAnsi" w:hAnsiTheme="minorHAnsi" w:cstheme="minorHAnsi"/>
                <w:color w:val="1F497D" w:themeColor="text2"/>
                <w:sz w:val="20"/>
                <w:szCs w:val="20"/>
                <w:lang w:val="el-GR"/>
              </w:rPr>
              <w:t xml:space="preserve">ς </w:t>
            </w:r>
            <w:r w:rsidR="00650E8F" w:rsidRPr="001D03E1">
              <w:rPr>
                <w:rFonts w:asciiTheme="minorHAnsi" w:hAnsiTheme="minorHAnsi" w:cstheme="minorHAnsi"/>
                <w:color w:val="1F497D" w:themeColor="text2"/>
                <w:sz w:val="20"/>
                <w:szCs w:val="20"/>
                <w:lang w:val="el-GR"/>
              </w:rPr>
              <w:t>πρακτικ</w:t>
            </w:r>
            <w:r w:rsidRPr="001D03E1">
              <w:rPr>
                <w:rFonts w:asciiTheme="minorHAnsi" w:hAnsiTheme="minorHAnsi" w:cstheme="minorHAnsi"/>
                <w:color w:val="1F497D" w:themeColor="text2"/>
                <w:sz w:val="20"/>
                <w:szCs w:val="20"/>
                <w:lang w:val="el-GR"/>
              </w:rPr>
              <w:t xml:space="preserve">ές </w:t>
            </w:r>
            <w:r w:rsidR="00650E8F" w:rsidRPr="001D03E1">
              <w:rPr>
                <w:rFonts w:asciiTheme="minorHAnsi" w:hAnsiTheme="minorHAnsi" w:cstheme="minorHAnsi"/>
                <w:color w:val="1F497D" w:themeColor="text2"/>
                <w:sz w:val="20"/>
                <w:szCs w:val="20"/>
                <w:lang w:val="el-GR"/>
              </w:rPr>
              <w:t>στη χρηματοοικονομική διοίκηση των επιχειρήσεων</w:t>
            </w:r>
            <w:r w:rsidRPr="001D03E1">
              <w:rPr>
                <w:rFonts w:asciiTheme="minorHAnsi" w:hAnsiTheme="minorHAnsi" w:cstheme="minorHAnsi"/>
                <w:color w:val="1F497D" w:themeColor="text2"/>
                <w:sz w:val="20"/>
                <w:szCs w:val="20"/>
                <w:lang w:val="el-GR"/>
              </w:rPr>
              <w:t>,</w:t>
            </w:r>
          </w:p>
          <w:p w14:paraId="2271AFB9" w14:textId="50EC621B" w:rsidR="005E4206" w:rsidRPr="001D03E1" w:rsidRDefault="00F652A9" w:rsidP="001D03E1">
            <w:pPr>
              <w:pStyle w:val="ListParagraph"/>
              <w:numPr>
                <w:ilvl w:val="0"/>
                <w:numId w:val="43"/>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Να είναι σε θέση να διαγνώσουν τη χρηματοοικονομική κατάσταση</w:t>
            </w:r>
            <w:r w:rsidR="00650E8F" w:rsidRPr="001D03E1">
              <w:rPr>
                <w:rFonts w:asciiTheme="minorHAnsi" w:hAnsiTheme="minorHAnsi" w:cstheme="minorHAnsi"/>
                <w:color w:val="1F497D" w:themeColor="text2"/>
                <w:sz w:val="20"/>
                <w:szCs w:val="20"/>
                <w:lang w:val="el-GR"/>
              </w:rPr>
              <w:t xml:space="preserve"> επιχειρήσεων και</w:t>
            </w:r>
            <w:r w:rsidRPr="001D03E1">
              <w:rPr>
                <w:rFonts w:asciiTheme="minorHAnsi" w:hAnsiTheme="minorHAnsi" w:cstheme="minorHAnsi"/>
                <w:color w:val="1F497D" w:themeColor="text2"/>
                <w:sz w:val="20"/>
                <w:szCs w:val="20"/>
                <w:lang w:val="el-GR"/>
              </w:rPr>
              <w:t xml:space="preserve"> να εκτιμήσουν τη δυναμική ανάπτυξη,</w:t>
            </w:r>
            <w:r w:rsidR="00650E8F" w:rsidRPr="001D03E1">
              <w:rPr>
                <w:rFonts w:asciiTheme="minorHAnsi" w:hAnsiTheme="minorHAnsi" w:cstheme="minorHAnsi"/>
                <w:color w:val="1F497D" w:themeColor="text2"/>
                <w:sz w:val="20"/>
                <w:szCs w:val="20"/>
                <w:lang w:val="el-GR"/>
              </w:rPr>
              <w:t xml:space="preserve"> </w:t>
            </w:r>
          </w:p>
          <w:p w14:paraId="6080D2BC" w14:textId="77777777" w:rsidR="004D34B5" w:rsidRDefault="004D34B5" w:rsidP="004D34B5">
            <w:pPr>
              <w:pStyle w:val="ListParagraph"/>
              <w:numPr>
                <w:ilvl w:val="0"/>
                <w:numId w:val="43"/>
              </w:numPr>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Ν</w:t>
            </w:r>
            <w:r w:rsidRPr="001D03E1">
              <w:rPr>
                <w:rFonts w:asciiTheme="minorHAnsi" w:hAnsiTheme="minorHAnsi" w:cstheme="minorHAnsi"/>
                <w:color w:val="1F497D" w:themeColor="text2"/>
                <w:sz w:val="20"/>
                <w:szCs w:val="20"/>
                <w:lang w:val="el-GR"/>
              </w:rPr>
              <w:t>α χρησιμοποιούν τη χρηματοοικονομική θεωρία για την επίλυση πρακτικών προβλημάτων και ως μέσο απόκρισης στις αλλαγές.</w:t>
            </w:r>
          </w:p>
          <w:p w14:paraId="2F8330E7" w14:textId="68AD82D3" w:rsidR="00650E8F" w:rsidRPr="001D03E1" w:rsidRDefault="004D34B5" w:rsidP="001D03E1">
            <w:pPr>
              <w:pStyle w:val="ListParagraph"/>
              <w:numPr>
                <w:ilvl w:val="0"/>
                <w:numId w:val="43"/>
              </w:numPr>
              <w:jc w:val="both"/>
              <w:rPr>
                <w:rFonts w:asciiTheme="minorHAnsi" w:hAnsiTheme="minorHAnsi" w:cstheme="minorHAnsi"/>
                <w:color w:val="1F497D" w:themeColor="text2"/>
                <w:sz w:val="20"/>
                <w:szCs w:val="20"/>
                <w:lang w:val="el-GR"/>
              </w:rPr>
            </w:pPr>
            <w:r>
              <w:rPr>
                <w:rFonts w:asciiTheme="minorHAnsi" w:hAnsiTheme="minorHAnsi" w:cstheme="minorHAnsi"/>
                <w:i/>
                <w:iCs/>
                <w:color w:val="002060"/>
                <w:sz w:val="20"/>
                <w:szCs w:val="20"/>
                <w:u w:val="single"/>
                <w:lang w:val="el-GR"/>
              </w:rPr>
              <w:t>Δεξιότητες</w:t>
            </w:r>
            <w:r w:rsidRPr="004D34B5">
              <w:rPr>
                <w:rFonts w:asciiTheme="minorHAnsi" w:hAnsiTheme="minorHAnsi" w:cstheme="minorHAnsi"/>
                <w:i/>
                <w:iCs/>
                <w:color w:val="002060"/>
                <w:sz w:val="20"/>
                <w:szCs w:val="20"/>
                <w:u w:val="single"/>
                <w:lang w:val="el-GR"/>
              </w:rPr>
              <w:t>:</w:t>
            </w:r>
          </w:p>
          <w:p w14:paraId="762CB568" w14:textId="5F0D7B70" w:rsidR="00650E8F" w:rsidRPr="001D03E1" w:rsidRDefault="00F652A9" w:rsidP="001D03E1">
            <w:pPr>
              <w:pStyle w:val="ListParagraph"/>
              <w:numPr>
                <w:ilvl w:val="0"/>
                <w:numId w:val="43"/>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Να αξιοποιούν σύγχρονες</w:t>
            </w:r>
            <w:r w:rsidR="00650E8F" w:rsidRPr="001D03E1">
              <w:rPr>
                <w:rFonts w:asciiTheme="minorHAnsi" w:hAnsiTheme="minorHAnsi" w:cstheme="minorHAnsi"/>
                <w:color w:val="1F497D" w:themeColor="text2"/>
                <w:sz w:val="20"/>
                <w:szCs w:val="20"/>
                <w:lang w:val="el-GR"/>
              </w:rPr>
              <w:t xml:space="preserve"> χρηματοοικονομικ</w:t>
            </w:r>
            <w:r w:rsidRPr="001D03E1">
              <w:rPr>
                <w:rFonts w:asciiTheme="minorHAnsi" w:hAnsiTheme="minorHAnsi" w:cstheme="minorHAnsi"/>
                <w:color w:val="1F497D" w:themeColor="text2"/>
                <w:sz w:val="20"/>
                <w:szCs w:val="20"/>
                <w:lang w:val="el-GR"/>
              </w:rPr>
              <w:t>ές</w:t>
            </w:r>
            <w:r w:rsidR="00650E8F" w:rsidRPr="001D03E1">
              <w:rPr>
                <w:rFonts w:asciiTheme="minorHAnsi" w:hAnsiTheme="minorHAnsi" w:cstheme="minorHAnsi"/>
                <w:color w:val="1F497D" w:themeColor="text2"/>
                <w:sz w:val="20"/>
                <w:szCs w:val="20"/>
                <w:lang w:val="el-GR"/>
              </w:rPr>
              <w:t xml:space="preserve"> μεθόδ</w:t>
            </w:r>
            <w:r w:rsidRPr="001D03E1">
              <w:rPr>
                <w:rFonts w:asciiTheme="minorHAnsi" w:hAnsiTheme="minorHAnsi" w:cstheme="minorHAnsi"/>
                <w:color w:val="1F497D" w:themeColor="text2"/>
                <w:sz w:val="20"/>
                <w:szCs w:val="20"/>
                <w:lang w:val="el-GR"/>
              </w:rPr>
              <w:t xml:space="preserve">ους </w:t>
            </w:r>
            <w:r w:rsidR="00650E8F" w:rsidRPr="001D03E1">
              <w:rPr>
                <w:rFonts w:asciiTheme="minorHAnsi" w:hAnsiTheme="minorHAnsi" w:cstheme="minorHAnsi"/>
                <w:color w:val="1F497D" w:themeColor="text2"/>
                <w:sz w:val="20"/>
                <w:szCs w:val="20"/>
                <w:lang w:val="el-GR"/>
              </w:rPr>
              <w:t>και εργαλεί</w:t>
            </w:r>
            <w:r w:rsidRPr="001D03E1">
              <w:rPr>
                <w:rFonts w:asciiTheme="minorHAnsi" w:hAnsiTheme="minorHAnsi" w:cstheme="minorHAnsi"/>
                <w:color w:val="1F497D" w:themeColor="text2"/>
                <w:sz w:val="20"/>
                <w:szCs w:val="20"/>
                <w:lang w:val="el-GR"/>
              </w:rPr>
              <w:t>α</w:t>
            </w:r>
            <w:r w:rsidR="00650E8F" w:rsidRPr="001D03E1">
              <w:rPr>
                <w:rFonts w:asciiTheme="minorHAnsi" w:hAnsiTheme="minorHAnsi" w:cstheme="minorHAnsi"/>
                <w:color w:val="1F497D" w:themeColor="text2"/>
                <w:sz w:val="20"/>
                <w:szCs w:val="20"/>
                <w:lang w:val="el-GR"/>
              </w:rPr>
              <w:t>.</w:t>
            </w:r>
          </w:p>
          <w:p w14:paraId="6F6316F7" w14:textId="77777777" w:rsidR="004D34B5" w:rsidRPr="001D03E1" w:rsidRDefault="004D34B5" w:rsidP="004D34B5">
            <w:pPr>
              <w:pStyle w:val="ListParagraph"/>
              <w:numPr>
                <w:ilvl w:val="0"/>
                <w:numId w:val="43"/>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Να αξιολογούν και να επιλέγουν στρατηγικές επενδυτικών αποφάσεων</w:t>
            </w:r>
          </w:p>
          <w:p w14:paraId="57FEC0E8" w14:textId="4921718E" w:rsidR="00AE3EC2" w:rsidRPr="00705AAD" w:rsidRDefault="00AE3EC2" w:rsidP="004D34B5">
            <w:pPr>
              <w:jc w:val="both"/>
              <w:rPr>
                <w:rFonts w:ascii="Calibri" w:hAnsi="Calibri" w:cs="Arial"/>
                <w:i/>
                <w:sz w:val="16"/>
                <w:szCs w:val="16"/>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D612B"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D612B"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Προσαρμογή σε νέες καταστάσεις </w:t>
            </w:r>
          </w:p>
          <w:p w14:paraId="1208873B"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Λήψη αποφάσεων </w:t>
            </w:r>
          </w:p>
          <w:p w14:paraId="6C38A917"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Αυτόνομη εργασία </w:t>
            </w:r>
          </w:p>
          <w:p w14:paraId="54BBBC35"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Ομαδική εργασία </w:t>
            </w:r>
          </w:p>
          <w:p w14:paraId="413029FA"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Εργασία σε διεθνές περιβάλλον </w:t>
            </w:r>
          </w:p>
          <w:p w14:paraId="6FC724CC"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Εργασία σε διεπιστημονικό περιβάλλον </w:t>
            </w:r>
          </w:p>
          <w:p w14:paraId="45DBA32A"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Σχεδιασμός και διαχείριση έργων </w:t>
            </w:r>
          </w:p>
          <w:p w14:paraId="6738B226"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Σεβασμός στο φυσικό περιβάλλον </w:t>
            </w:r>
          </w:p>
          <w:p w14:paraId="677A40B7"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4D34B5" w:rsidRDefault="00B14B74" w:rsidP="0001411A">
            <w:pPr>
              <w:widowControl w:val="0"/>
              <w:autoSpaceDE w:val="0"/>
              <w:autoSpaceDN w:val="0"/>
              <w:adjustRightInd w:val="0"/>
              <w:rPr>
                <w:rFonts w:ascii="Calibri" w:hAnsi="Calibri" w:cs="Arial"/>
                <w:i/>
                <w:sz w:val="16"/>
                <w:szCs w:val="16"/>
                <w:lang w:val="el-GR"/>
              </w:rPr>
            </w:pPr>
            <w:r w:rsidRPr="004D34B5">
              <w:rPr>
                <w:rFonts w:ascii="Calibri" w:hAnsi="Calibri" w:cs="Arial"/>
                <w:i/>
                <w:sz w:val="16"/>
                <w:szCs w:val="16"/>
                <w:lang w:val="el-GR"/>
              </w:rPr>
              <w:t xml:space="preserve">Άσκηση κριτικής και αυτοκριτικής </w:t>
            </w:r>
          </w:p>
          <w:p w14:paraId="33F6027A" w14:textId="77777777" w:rsidR="00B14B74" w:rsidRPr="004D34B5" w:rsidRDefault="00B14B74" w:rsidP="0001411A">
            <w:pPr>
              <w:rPr>
                <w:rFonts w:ascii="Calibri" w:hAnsi="Calibri" w:cs="Arial"/>
                <w:sz w:val="20"/>
                <w:szCs w:val="20"/>
                <w:lang w:val="el-GR"/>
              </w:rPr>
            </w:pPr>
            <w:r w:rsidRPr="004D34B5">
              <w:rPr>
                <w:rFonts w:ascii="Calibri" w:hAnsi="Calibri" w:cs="Arial"/>
                <w:i/>
                <w:sz w:val="16"/>
                <w:szCs w:val="16"/>
                <w:lang w:val="el-GR"/>
              </w:rPr>
              <w:t>Προαγωγή της ελεύθερης, δημιουργικής και επαγωγικής σκέψης</w:t>
            </w:r>
          </w:p>
        </w:tc>
      </w:tr>
      <w:tr w:rsidR="00B14B74" w:rsidRPr="002D612B" w14:paraId="6EAE2BE8" w14:textId="77777777" w:rsidTr="00290D59">
        <w:tc>
          <w:tcPr>
            <w:tcW w:w="8364" w:type="dxa"/>
            <w:gridSpan w:val="2"/>
          </w:tcPr>
          <w:p w14:paraId="1FE0BB02" w14:textId="77777777" w:rsidR="004D34B5" w:rsidRPr="0001088A" w:rsidRDefault="004D34B5" w:rsidP="004D34B5">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7FB456C1" w14:textId="3AEE3017" w:rsidR="004D34B5" w:rsidRDefault="004D34B5" w:rsidP="004D34B5">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EB7A7D0" w14:textId="1F1026DD" w:rsidR="004D34B5" w:rsidRDefault="004D34B5" w:rsidP="004D34B5">
            <w:pPr>
              <w:ind w:left="360"/>
              <w:jc w:val="both"/>
              <w:rPr>
                <w:rFonts w:asciiTheme="minorHAnsi" w:hAnsiTheme="minorHAnsi" w:cstheme="minorHAnsi"/>
                <w:i/>
                <w:color w:val="1F497D" w:themeColor="text2"/>
                <w:sz w:val="20"/>
                <w:szCs w:val="20"/>
                <w:lang w:val="el-GR"/>
              </w:rPr>
            </w:pPr>
            <w:r w:rsidRPr="004D34B5">
              <w:rPr>
                <w:rFonts w:asciiTheme="minorHAnsi" w:hAnsiTheme="minorHAnsi" w:cstheme="minorHAnsi"/>
                <w:i/>
                <w:color w:val="1F497D" w:themeColor="text2"/>
                <w:sz w:val="20"/>
                <w:szCs w:val="20"/>
                <w:lang w:val="el-GR"/>
              </w:rPr>
              <w:t>Εργασία σε διεθνές περιβάλλον</w:t>
            </w:r>
          </w:p>
          <w:p w14:paraId="69E41708" w14:textId="77777777" w:rsidR="004D34B5" w:rsidRPr="004D34B5" w:rsidRDefault="004D34B5" w:rsidP="004D34B5">
            <w:pPr>
              <w:ind w:left="360"/>
              <w:jc w:val="both"/>
              <w:rPr>
                <w:rFonts w:asciiTheme="minorHAnsi" w:hAnsiTheme="minorHAnsi" w:cstheme="minorHAnsi"/>
                <w:i/>
                <w:color w:val="1F497D" w:themeColor="text2"/>
                <w:sz w:val="20"/>
                <w:szCs w:val="20"/>
                <w:lang w:val="el-GR"/>
              </w:rPr>
            </w:pPr>
            <w:r w:rsidRPr="004D34B5">
              <w:rPr>
                <w:rFonts w:asciiTheme="minorHAnsi" w:hAnsiTheme="minorHAnsi" w:cstheme="minorHAnsi"/>
                <w:i/>
                <w:color w:val="1F497D" w:themeColor="text2"/>
                <w:sz w:val="20"/>
                <w:szCs w:val="20"/>
                <w:lang w:val="el-GR"/>
              </w:rPr>
              <w:t xml:space="preserve">Προσαρμογή σε νέες καταστάσεις </w:t>
            </w:r>
          </w:p>
          <w:p w14:paraId="44712406" w14:textId="72C45FAC" w:rsidR="004D34B5" w:rsidRDefault="004D34B5" w:rsidP="004D34B5">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0340F972" w14:textId="6A90E764" w:rsidR="00284016" w:rsidRPr="004D34B5" w:rsidRDefault="004D34B5" w:rsidP="004D34B5">
            <w:pPr>
              <w:ind w:left="360"/>
              <w:jc w:val="both"/>
              <w:rPr>
                <w:rFonts w:asciiTheme="minorHAnsi" w:hAnsiTheme="minorHAnsi" w:cstheme="minorHAnsi"/>
                <w:i/>
                <w:color w:val="1F497D" w:themeColor="text2"/>
                <w:sz w:val="20"/>
                <w:szCs w:val="20"/>
                <w:lang w:val="el-GR"/>
              </w:rPr>
            </w:pPr>
            <w:r w:rsidRPr="004D34B5">
              <w:rPr>
                <w:rFonts w:asciiTheme="minorHAnsi" w:hAnsiTheme="minorHAnsi" w:cstheme="minorHAnsi"/>
                <w:i/>
                <w:color w:val="1F497D" w:themeColor="text2"/>
                <w:sz w:val="20"/>
                <w:szCs w:val="20"/>
                <w:lang w:val="el-GR"/>
              </w:rPr>
              <w:t>Προαγωγή της ελεύθερης, δημιουργικής και επαγωγικής σκέψης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2D612B" w14:paraId="2E0CAB6D" w14:textId="77777777" w:rsidTr="0001411A">
        <w:tc>
          <w:tcPr>
            <w:tcW w:w="8472" w:type="dxa"/>
          </w:tcPr>
          <w:p w14:paraId="5CA6E6AE" w14:textId="72BC3AC4" w:rsidR="00650E8F" w:rsidRPr="001D03E1" w:rsidRDefault="00650E8F"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Θεμελιώδεις Αρχές και Πρακτικές στη Χρηματοοικονομική των Επιχειρήσεων</w:t>
            </w:r>
          </w:p>
          <w:p w14:paraId="7D653FFF" w14:textId="77777777"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 xml:space="preserve">Στόχοι και διακυβέρνηση της επιχείρησης, </w:t>
            </w:r>
          </w:p>
          <w:p w14:paraId="63366CA6" w14:textId="14A447DA"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Παρούσες αξίες, Αποτίμηση ομολόγων και η  αξία των κοινών μετοχών</w:t>
            </w:r>
          </w:p>
          <w:p w14:paraId="3E3A9D2B" w14:textId="53A1DBF9"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Καθαρή παρούσα αξία και άλλα επενδυτικά κριτήρια</w:t>
            </w:r>
          </w:p>
          <w:p w14:paraId="10820373" w14:textId="1DD0C802"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Λήψη επενδυτικών αποφάσεων με τον κανόνα της καθαρής παρούσας αξίας</w:t>
            </w:r>
          </w:p>
          <w:p w14:paraId="5EC7D3AC" w14:textId="404004ED" w:rsidR="00C90A91" w:rsidRPr="001D03E1" w:rsidRDefault="004E166A"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Έ</w:t>
            </w:r>
            <w:r w:rsidR="00C90A91" w:rsidRPr="001D03E1">
              <w:rPr>
                <w:rFonts w:asciiTheme="minorHAnsi" w:hAnsiTheme="minorHAnsi" w:cstheme="minorHAnsi"/>
                <w:color w:val="1F497D" w:themeColor="text2"/>
                <w:sz w:val="22"/>
                <w:szCs w:val="22"/>
                <w:lang w:val="el-GR"/>
              </w:rPr>
              <w:t>ννοιες του κινδύνου και της απόδοσης</w:t>
            </w:r>
            <w:r w:rsidRPr="001D03E1">
              <w:rPr>
                <w:rFonts w:asciiTheme="minorHAnsi" w:hAnsiTheme="minorHAnsi" w:cstheme="minorHAnsi"/>
                <w:color w:val="1F497D" w:themeColor="text2"/>
                <w:sz w:val="22"/>
                <w:szCs w:val="22"/>
                <w:lang w:val="el-GR"/>
              </w:rPr>
              <w:t xml:space="preserve">. </w:t>
            </w:r>
            <w:r w:rsidR="00C90A91" w:rsidRPr="001D03E1">
              <w:rPr>
                <w:rFonts w:asciiTheme="minorHAnsi" w:hAnsiTheme="minorHAnsi" w:cstheme="minorHAnsi"/>
                <w:color w:val="1F497D" w:themeColor="text2"/>
                <w:sz w:val="22"/>
                <w:szCs w:val="22"/>
                <w:lang w:val="el-GR"/>
              </w:rPr>
              <w:t>Θεωρία χαρτοφυλακίου και το μοντέλο αποτίμησης κεφαλαιακών στοιχείων (CAPM)</w:t>
            </w:r>
            <w:r w:rsidRPr="001D03E1">
              <w:rPr>
                <w:rFonts w:asciiTheme="minorHAnsi" w:hAnsiTheme="minorHAnsi" w:cstheme="minorHAnsi"/>
                <w:color w:val="1F497D" w:themeColor="text2"/>
                <w:sz w:val="22"/>
                <w:szCs w:val="22"/>
                <w:lang w:val="el-GR"/>
              </w:rPr>
              <w:t xml:space="preserve">. </w:t>
            </w:r>
            <w:r w:rsidR="00C90A91" w:rsidRPr="001D03E1">
              <w:rPr>
                <w:rFonts w:asciiTheme="minorHAnsi" w:hAnsiTheme="minorHAnsi" w:cstheme="minorHAnsi"/>
                <w:color w:val="1F497D" w:themeColor="text2"/>
                <w:sz w:val="22"/>
                <w:szCs w:val="22"/>
                <w:lang w:val="el-GR"/>
              </w:rPr>
              <w:t>Κίνδυνος και κόστος κεφαλαίου</w:t>
            </w:r>
          </w:p>
          <w:p w14:paraId="22BE7438" w14:textId="071D4EF4"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Calibri" w:hAnsi="Calibri" w:cs="Calibri"/>
                <w:color w:val="1F497D" w:themeColor="text2"/>
                <w:sz w:val="22"/>
                <w:szCs w:val="22"/>
                <w:lang w:val="el-GR"/>
              </w:rPr>
              <w:t>Βέλτιστες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πρακτικές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κατάρτισης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κεφαλαιουχικού</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 xml:space="preserve">προϋπολογισμού: </w:t>
            </w:r>
            <w:r w:rsidRPr="001D03E1">
              <w:rPr>
                <w:rFonts w:asciiTheme="minorHAnsi" w:hAnsiTheme="minorHAnsi" w:cstheme="minorHAnsi"/>
                <w:color w:val="1F497D" w:themeColor="text2"/>
                <w:sz w:val="22"/>
                <w:szCs w:val="22"/>
                <w:lang w:val="el-GR"/>
              </w:rPr>
              <w:t>Ανάλυση έργου, Επενδύσεις, στρατηγική, και οικονομικές πρόσοδοι, Προβλήματα αντιπροσώπευσης, αποζημίωση, και μέτρηση επιδόσεων/απόδοσης</w:t>
            </w:r>
          </w:p>
          <w:p w14:paraId="278A9411" w14:textId="77777777" w:rsidR="001D03E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Calibri" w:hAnsi="Calibri" w:cs="Calibri"/>
                <w:color w:val="1F497D" w:themeColor="text2"/>
                <w:sz w:val="22"/>
                <w:szCs w:val="22"/>
                <w:lang w:val="el-GR"/>
              </w:rPr>
              <w:t>Χρηματοδοτικές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αποφάσεις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και</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Αποτελεσματικότητα</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 xml:space="preserve">Αγοράς: </w:t>
            </w:r>
            <w:r w:rsidRPr="001D03E1">
              <w:rPr>
                <w:rFonts w:asciiTheme="minorHAnsi" w:hAnsiTheme="minorHAnsi" w:cstheme="minorHAnsi"/>
                <w:color w:val="1F497D" w:themeColor="text2"/>
                <w:sz w:val="22"/>
                <w:szCs w:val="22"/>
                <w:lang w:val="el-GR"/>
              </w:rPr>
              <w:t xml:space="preserve">Αποτελεσματικές αγορές </w:t>
            </w:r>
            <w:r w:rsidRPr="001D03E1">
              <w:rPr>
                <w:rFonts w:asciiTheme="minorHAnsi" w:hAnsiTheme="minorHAnsi" w:cstheme="minorHAnsi"/>
                <w:color w:val="1F497D" w:themeColor="text2"/>
                <w:sz w:val="22"/>
                <w:szCs w:val="22"/>
                <w:lang w:val="el-GR"/>
              </w:rPr>
              <w:lastRenderedPageBreak/>
              <w:t>και συμπεριφορική χρηματοοικονομική ανάλυση</w:t>
            </w:r>
            <w:r w:rsidR="001D03E1" w:rsidRPr="001D03E1">
              <w:rPr>
                <w:rFonts w:asciiTheme="minorHAnsi" w:hAnsiTheme="minorHAnsi" w:cstheme="minorHAnsi"/>
                <w:color w:val="1F497D" w:themeColor="text2"/>
                <w:sz w:val="22"/>
                <w:szCs w:val="22"/>
                <w:lang w:val="el-GR"/>
              </w:rPr>
              <w:t>,</w:t>
            </w:r>
          </w:p>
          <w:p w14:paraId="2A49A886" w14:textId="6C6987C5"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 xml:space="preserve">Χρηματοδότηση εταιρειών. Αξιόγραφα. </w:t>
            </w:r>
            <w:r w:rsidRPr="001D03E1">
              <w:rPr>
                <w:rFonts w:ascii="Calibri" w:hAnsi="Calibri" w:cs="Calibri"/>
                <w:color w:val="1F497D" w:themeColor="text2"/>
                <w:sz w:val="22"/>
                <w:szCs w:val="22"/>
                <w:lang w:val="el-GR"/>
              </w:rPr>
              <w:t>Πολιτική</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διανομής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κερδών</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και</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κεφαλαιακή</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 xml:space="preserve">διάρθρωση. </w:t>
            </w:r>
            <w:r w:rsidRPr="001D03E1">
              <w:rPr>
                <w:rFonts w:asciiTheme="minorHAnsi" w:hAnsiTheme="minorHAnsi" w:cstheme="minorHAnsi"/>
                <w:color w:val="1F497D" w:themeColor="text2"/>
                <w:sz w:val="22"/>
                <w:szCs w:val="22"/>
                <w:lang w:val="el-GR"/>
              </w:rPr>
              <w:t>Πολιτική δανεισμού. Χρηματοδότηση και αποτίμηση</w:t>
            </w:r>
          </w:p>
          <w:p w14:paraId="7F6D83D2" w14:textId="260C40BD"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Calibri" w:hAnsi="Calibri" w:cs="Calibri"/>
                <w:color w:val="1F497D" w:themeColor="text2"/>
                <w:sz w:val="22"/>
                <w:szCs w:val="22"/>
                <w:lang w:val="el-GR"/>
              </w:rPr>
              <w:t>Δικαιώματα: Δ</w:t>
            </w:r>
            <w:r w:rsidRPr="001D03E1">
              <w:rPr>
                <w:rFonts w:asciiTheme="minorHAnsi" w:hAnsiTheme="minorHAnsi" w:cstheme="minorHAnsi"/>
                <w:color w:val="1F497D" w:themeColor="text2"/>
                <w:sz w:val="22"/>
                <w:szCs w:val="22"/>
                <w:lang w:val="el-GR"/>
              </w:rPr>
              <w:t xml:space="preserve">ικαιώματα προαίρεσης. Πραγματικά δικαιώματα. </w:t>
            </w:r>
          </w:p>
          <w:p w14:paraId="7DE70C95" w14:textId="480B955A"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Χρηματοδότηση με δανειακά κεφάλαια.</w:t>
            </w:r>
          </w:p>
          <w:p w14:paraId="3362C372" w14:textId="6518BECD"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 xml:space="preserve">Πιστωτικός κίνδυνος και αξία των δανειακών κεφαλαίων της επιχείρησης. </w:t>
            </w:r>
          </w:p>
          <w:p w14:paraId="39D394DD" w14:textId="5A2B5D58"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Theme="minorHAnsi" w:hAnsiTheme="minorHAnsi" w:cstheme="minorHAnsi"/>
                <w:color w:val="1F497D" w:themeColor="text2"/>
                <w:sz w:val="22"/>
                <w:szCs w:val="22"/>
                <w:lang w:val="el-GR"/>
              </w:rPr>
              <w:t>Δανεισμός. Χρηματοδοτική μίσθωση</w:t>
            </w:r>
          </w:p>
          <w:p w14:paraId="26DFD332" w14:textId="1D99B2D2"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Calibri" w:hAnsi="Calibri" w:cs="Calibri"/>
                <w:color w:val="1F497D" w:themeColor="text2"/>
                <w:sz w:val="22"/>
                <w:szCs w:val="22"/>
                <w:lang w:val="el-GR"/>
              </w:rPr>
              <w:t>Διαχείριση</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 xml:space="preserve">κινδύνων και </w:t>
            </w:r>
            <w:r w:rsidRPr="001D03E1">
              <w:rPr>
                <w:rFonts w:asciiTheme="minorHAnsi" w:hAnsiTheme="minorHAnsi" w:cstheme="minorHAnsi"/>
                <w:color w:val="1F497D" w:themeColor="text2"/>
                <w:sz w:val="22"/>
                <w:szCs w:val="22"/>
                <w:lang w:val="el-GR"/>
              </w:rPr>
              <w:t>Διαχείριση διεθνών κινδύνων</w:t>
            </w:r>
          </w:p>
          <w:p w14:paraId="1033F291" w14:textId="25CBD55E" w:rsidR="00C90A91"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color w:val="1F497D" w:themeColor="text2"/>
                <w:sz w:val="22"/>
                <w:szCs w:val="22"/>
                <w:lang w:val="el-GR"/>
              </w:rPr>
            </w:pPr>
            <w:r w:rsidRPr="001D03E1">
              <w:rPr>
                <w:rFonts w:ascii="Calibri" w:hAnsi="Calibri" w:cs="Calibri"/>
                <w:color w:val="1F497D" w:themeColor="text2"/>
                <w:sz w:val="22"/>
                <w:szCs w:val="22"/>
                <w:lang w:val="el-GR"/>
              </w:rPr>
              <w:t>Χρηματοοικονομικός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σχεδιασμός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και</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διαχείριση</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κεφαλαίου</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 xml:space="preserve">κίνησης:  </w:t>
            </w:r>
            <w:r w:rsidRPr="001D03E1">
              <w:rPr>
                <w:rFonts w:asciiTheme="minorHAnsi" w:hAnsiTheme="minorHAnsi" w:cstheme="minorHAnsi"/>
                <w:color w:val="1F497D" w:themeColor="text2"/>
                <w:sz w:val="22"/>
                <w:szCs w:val="22"/>
                <w:lang w:val="el-GR"/>
              </w:rPr>
              <w:t>Χρηματοοικονομική ανάλυση, Χρηματοοικονομικός σχεδιασμός, Διαχείριση κεφαλαίου κίνησης</w:t>
            </w:r>
          </w:p>
          <w:p w14:paraId="2C82B955" w14:textId="21297BC1" w:rsidR="00AE5B4B" w:rsidRPr="001D03E1" w:rsidRDefault="00C90A91" w:rsidP="001D03E1">
            <w:pPr>
              <w:pStyle w:val="ListParagraph"/>
              <w:widowControl w:val="0"/>
              <w:numPr>
                <w:ilvl w:val="0"/>
                <w:numId w:val="45"/>
              </w:numPr>
              <w:autoSpaceDE w:val="0"/>
              <w:autoSpaceDN w:val="0"/>
              <w:spacing w:before="30" w:after="160" w:line="270" w:lineRule="exact"/>
              <w:rPr>
                <w:rFonts w:asciiTheme="minorHAnsi" w:hAnsiTheme="minorHAnsi" w:cstheme="minorHAnsi"/>
                <w:lang w:val="el-GR"/>
              </w:rPr>
            </w:pPr>
            <w:r w:rsidRPr="001D03E1">
              <w:rPr>
                <w:rFonts w:ascii="Calibri" w:hAnsi="Calibri" w:cs="Calibri"/>
                <w:color w:val="1F497D" w:themeColor="text2"/>
                <w:sz w:val="22"/>
                <w:szCs w:val="22"/>
                <w:lang w:val="el-GR"/>
              </w:rPr>
              <w:t>Συγχωνεύσεις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εταιρικός</w:t>
            </w:r>
            <w:r w:rsidRPr="001D03E1">
              <w:rPr>
                <w:rFonts w:asciiTheme="minorHAnsi" w:hAnsiTheme="minorHAnsi" w:cstheme="minorHAnsi"/>
                <w:color w:val="1F497D" w:themeColor="text2"/>
                <w:sz w:val="22"/>
                <w:szCs w:val="22"/>
                <w:lang w:val="el-GR"/>
              </w:rPr>
              <w:t xml:space="preserve"> </w:t>
            </w:r>
            <w:r w:rsidRPr="001D03E1">
              <w:rPr>
                <w:rFonts w:ascii="Calibri" w:hAnsi="Calibri" w:cs="Calibri"/>
                <w:color w:val="1F497D" w:themeColor="text2"/>
                <w:sz w:val="22"/>
                <w:szCs w:val="22"/>
                <w:lang w:val="el-GR"/>
              </w:rPr>
              <w:t>έλεγχος</w:t>
            </w:r>
            <w:r w:rsidRPr="001D03E1">
              <w:rPr>
                <w:rFonts w:asciiTheme="minorHAnsi" w:hAnsiTheme="minorHAnsi" w:cstheme="minorHAnsi"/>
                <w:color w:val="1F497D" w:themeColor="text2"/>
                <w:sz w:val="22"/>
                <w:szCs w:val="22"/>
                <w:lang w:val="el-GR"/>
              </w:rPr>
              <w:t xml:space="preserve"> και διακυβέρνηση</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D612B"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5B27C382" w:rsidR="00B14B74" w:rsidRPr="001D03E1" w:rsidRDefault="004D34B5"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B14B74" w:rsidRPr="002D612B"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C9652D3" w14:textId="77777777" w:rsidR="004D34B5" w:rsidRDefault="004D34B5" w:rsidP="004D34B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0DF44F3C" w14:textId="77777777" w:rsidR="004D34B5" w:rsidRDefault="004D34B5" w:rsidP="004D34B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70905775" w:rsidR="00B14B74" w:rsidRPr="001D03E1" w:rsidRDefault="004D34B5" w:rsidP="004D34B5">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D03E1" w:rsidRPr="001D03E1"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1D03E1" w:rsidRDefault="00B14B74" w:rsidP="00C44467">
                  <w:pPr>
                    <w:jc w:val="center"/>
                    <w:rPr>
                      <w:rFonts w:ascii="Calibri" w:hAnsi="Calibri" w:cs="Arial"/>
                      <w:b/>
                      <w:i/>
                      <w:color w:val="1F497D" w:themeColor="text2"/>
                      <w:sz w:val="20"/>
                      <w:szCs w:val="20"/>
                    </w:rPr>
                  </w:pPr>
                  <w:r w:rsidRPr="001D03E1">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1D03E1" w:rsidRDefault="00B14B74" w:rsidP="00C44467">
                  <w:pPr>
                    <w:jc w:val="center"/>
                    <w:rPr>
                      <w:rFonts w:ascii="Calibri" w:hAnsi="Calibri" w:cs="Arial"/>
                      <w:b/>
                      <w:i/>
                      <w:color w:val="1F497D" w:themeColor="text2"/>
                      <w:sz w:val="20"/>
                      <w:szCs w:val="20"/>
                    </w:rPr>
                  </w:pPr>
                  <w:r w:rsidRPr="001D03E1">
                    <w:rPr>
                      <w:rFonts w:ascii="Calibri" w:hAnsi="Calibri" w:cs="Arial"/>
                      <w:b/>
                      <w:i/>
                      <w:color w:val="1F497D" w:themeColor="text2"/>
                      <w:sz w:val="20"/>
                      <w:szCs w:val="20"/>
                    </w:rPr>
                    <w:t>Φόρτος Εργασίας Εξαμήνου</w:t>
                  </w:r>
                </w:p>
              </w:tc>
            </w:tr>
            <w:tr w:rsidR="001D03E1" w:rsidRPr="001D03E1"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1D03E1" w:rsidRDefault="00B14B74" w:rsidP="0001411A">
                  <w:pPr>
                    <w:rPr>
                      <w:rFonts w:ascii="Calibri" w:hAnsi="Calibri"/>
                      <w:iCs/>
                      <w:color w:val="1F497D" w:themeColor="text2"/>
                      <w:lang w:val="el-GR"/>
                    </w:rPr>
                  </w:pPr>
                  <w:r w:rsidRPr="001D03E1">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1D03E1" w:rsidRDefault="00D63459" w:rsidP="00C44467">
                  <w:pPr>
                    <w:jc w:val="center"/>
                    <w:rPr>
                      <w:rFonts w:ascii="Calibri" w:hAnsi="Calibri" w:cs="Arial"/>
                      <w:color w:val="1F497D" w:themeColor="text2"/>
                      <w:lang w:val="el-GR"/>
                    </w:rPr>
                  </w:pPr>
                  <w:r w:rsidRPr="001D03E1">
                    <w:rPr>
                      <w:rFonts w:ascii="Calibri" w:hAnsi="Calibri" w:cs="Arial"/>
                      <w:color w:val="1F497D" w:themeColor="text2"/>
                      <w:sz w:val="22"/>
                      <w:szCs w:val="22"/>
                      <w:lang w:val="el-GR"/>
                    </w:rPr>
                    <w:t>65</w:t>
                  </w:r>
                  <w:r w:rsidR="00B14B74" w:rsidRPr="001D03E1">
                    <w:rPr>
                      <w:rFonts w:ascii="Calibri" w:hAnsi="Calibri" w:cs="Arial"/>
                      <w:color w:val="1F497D" w:themeColor="text2"/>
                      <w:sz w:val="22"/>
                      <w:szCs w:val="22"/>
                      <w:lang w:val="el-GR"/>
                    </w:rPr>
                    <w:t xml:space="preserve"> ώρες</w:t>
                  </w:r>
                </w:p>
              </w:tc>
            </w:tr>
            <w:tr w:rsidR="001D03E1" w:rsidRPr="001D03E1"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1D03E1" w:rsidRDefault="00B14B74" w:rsidP="0001411A">
                  <w:pPr>
                    <w:rPr>
                      <w:rFonts w:ascii="Calibri" w:hAnsi="Calibri"/>
                      <w:iCs/>
                      <w:color w:val="1F497D" w:themeColor="text2"/>
                      <w:lang w:val="el-GR"/>
                    </w:rPr>
                  </w:pPr>
                  <w:r w:rsidRPr="001D03E1">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1D03E1" w:rsidRDefault="00D63459" w:rsidP="00C44467">
                  <w:pPr>
                    <w:jc w:val="center"/>
                    <w:rPr>
                      <w:rFonts w:ascii="Calibri" w:hAnsi="Calibri" w:cs="Arial"/>
                      <w:color w:val="1F497D" w:themeColor="text2"/>
                      <w:lang w:val="el-GR"/>
                    </w:rPr>
                  </w:pPr>
                  <w:r w:rsidRPr="001D03E1">
                    <w:rPr>
                      <w:rFonts w:ascii="Calibri" w:hAnsi="Calibri" w:cs="Arial"/>
                      <w:color w:val="1F497D" w:themeColor="text2"/>
                      <w:sz w:val="22"/>
                      <w:szCs w:val="22"/>
                      <w:lang w:val="el-GR"/>
                    </w:rPr>
                    <w:t>33</w:t>
                  </w:r>
                  <w:r w:rsidR="00B14B74" w:rsidRPr="001D03E1">
                    <w:rPr>
                      <w:rFonts w:ascii="Calibri" w:hAnsi="Calibri" w:cs="Arial"/>
                      <w:color w:val="1F497D" w:themeColor="text2"/>
                      <w:sz w:val="22"/>
                      <w:szCs w:val="22"/>
                      <w:lang w:val="el-GR"/>
                    </w:rPr>
                    <w:t xml:space="preserve"> ώρες</w:t>
                  </w:r>
                </w:p>
              </w:tc>
            </w:tr>
            <w:tr w:rsidR="001D03E1" w:rsidRPr="001D03E1"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1D03E1" w:rsidRDefault="00B14B74" w:rsidP="0001411A">
                  <w:pPr>
                    <w:rPr>
                      <w:rFonts w:ascii="Calibri" w:hAnsi="Calibri"/>
                      <w:iCs/>
                      <w:color w:val="1F497D" w:themeColor="text2"/>
                      <w:lang w:val="el-GR"/>
                    </w:rPr>
                  </w:pPr>
                  <w:r w:rsidRPr="001D03E1">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1D03E1" w:rsidRDefault="00D63459" w:rsidP="00D63459">
                  <w:pPr>
                    <w:jc w:val="center"/>
                    <w:rPr>
                      <w:rFonts w:ascii="Calibri" w:hAnsi="Calibri" w:cs="Arial"/>
                      <w:color w:val="1F497D" w:themeColor="text2"/>
                      <w:lang w:val="el-GR"/>
                    </w:rPr>
                  </w:pPr>
                  <w:r w:rsidRPr="001D03E1">
                    <w:rPr>
                      <w:rFonts w:ascii="Calibri" w:hAnsi="Calibri" w:cs="Arial"/>
                      <w:color w:val="1F497D" w:themeColor="text2"/>
                      <w:sz w:val="22"/>
                      <w:szCs w:val="22"/>
                      <w:lang w:val="el-GR"/>
                    </w:rPr>
                    <w:t>27</w:t>
                  </w:r>
                  <w:r w:rsidR="00B14B74" w:rsidRPr="001D03E1">
                    <w:rPr>
                      <w:rFonts w:ascii="Calibri" w:hAnsi="Calibri" w:cs="Arial"/>
                      <w:color w:val="1F497D" w:themeColor="text2"/>
                      <w:sz w:val="22"/>
                      <w:szCs w:val="22"/>
                      <w:lang w:val="el-GR"/>
                    </w:rPr>
                    <w:t xml:space="preserve"> ώρες</w:t>
                  </w:r>
                </w:p>
              </w:tc>
            </w:tr>
            <w:tr w:rsidR="001D03E1" w:rsidRPr="001D03E1"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1D03E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1D03E1" w:rsidRDefault="00B14B74" w:rsidP="00C44467">
                  <w:pPr>
                    <w:jc w:val="center"/>
                    <w:rPr>
                      <w:rFonts w:ascii="Calibri" w:hAnsi="Calibri" w:cs="Arial"/>
                      <w:color w:val="1F497D" w:themeColor="text2"/>
                      <w:sz w:val="20"/>
                      <w:szCs w:val="20"/>
                      <w:lang w:val="el-GR"/>
                    </w:rPr>
                  </w:pPr>
                </w:p>
              </w:tc>
            </w:tr>
            <w:tr w:rsidR="001D03E1" w:rsidRPr="001D03E1"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1D03E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1D03E1" w:rsidRDefault="00B14B74" w:rsidP="00C44467">
                  <w:pPr>
                    <w:jc w:val="center"/>
                    <w:rPr>
                      <w:rFonts w:ascii="Calibri" w:hAnsi="Calibri" w:cs="Arial"/>
                      <w:color w:val="1F497D" w:themeColor="text2"/>
                      <w:sz w:val="20"/>
                      <w:szCs w:val="20"/>
                      <w:lang w:val="el-GR"/>
                    </w:rPr>
                  </w:pPr>
                </w:p>
              </w:tc>
            </w:tr>
            <w:tr w:rsidR="001D03E1" w:rsidRPr="001D03E1"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1D03E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1D03E1" w:rsidRDefault="00B14B74" w:rsidP="0001411A">
                  <w:pPr>
                    <w:rPr>
                      <w:rFonts w:ascii="Calibri" w:hAnsi="Calibri" w:cs="Arial"/>
                      <w:i/>
                      <w:color w:val="1F497D" w:themeColor="text2"/>
                      <w:sz w:val="16"/>
                      <w:szCs w:val="16"/>
                      <w:lang w:val="el-GR"/>
                    </w:rPr>
                  </w:pPr>
                </w:p>
              </w:tc>
            </w:tr>
            <w:tr w:rsidR="001D03E1" w:rsidRPr="001D03E1"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1D03E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1D03E1" w:rsidRDefault="00B14B74" w:rsidP="0001411A">
                  <w:pPr>
                    <w:rPr>
                      <w:rFonts w:ascii="Calibri" w:hAnsi="Calibri" w:cs="Arial"/>
                      <w:i/>
                      <w:color w:val="1F497D" w:themeColor="text2"/>
                      <w:sz w:val="16"/>
                      <w:szCs w:val="16"/>
                      <w:lang w:val="el-GR"/>
                    </w:rPr>
                  </w:pPr>
                </w:p>
              </w:tc>
            </w:tr>
            <w:tr w:rsidR="001D03E1" w:rsidRPr="001D03E1"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1D03E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1D03E1" w:rsidRDefault="00B14B74" w:rsidP="0001411A">
                  <w:pPr>
                    <w:rPr>
                      <w:rFonts w:ascii="Calibri" w:hAnsi="Calibri" w:cs="Arial"/>
                      <w:i/>
                      <w:color w:val="1F497D" w:themeColor="text2"/>
                      <w:sz w:val="16"/>
                      <w:szCs w:val="16"/>
                      <w:lang w:val="el-GR"/>
                    </w:rPr>
                  </w:pPr>
                </w:p>
              </w:tc>
            </w:tr>
            <w:tr w:rsidR="001D03E1" w:rsidRPr="001D03E1"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1D03E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1D03E1" w:rsidRDefault="00B14B74" w:rsidP="00C44467">
                  <w:pPr>
                    <w:jc w:val="center"/>
                    <w:rPr>
                      <w:rFonts w:ascii="Calibri" w:hAnsi="Calibri" w:cs="Arial"/>
                      <w:color w:val="1F497D" w:themeColor="text2"/>
                      <w:sz w:val="20"/>
                      <w:szCs w:val="20"/>
                      <w:lang w:val="el-GR"/>
                    </w:rPr>
                  </w:pPr>
                </w:p>
              </w:tc>
            </w:tr>
            <w:tr w:rsidR="001D03E1" w:rsidRPr="001D03E1"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1D03E1" w:rsidRDefault="00B14B74" w:rsidP="0001411A">
                  <w:pPr>
                    <w:rPr>
                      <w:rFonts w:ascii="Calibri" w:hAnsi="Calibri"/>
                      <w:iCs/>
                      <w:color w:val="1F497D" w:themeColor="text2"/>
                      <w:lang w:val="el-GR"/>
                    </w:rPr>
                  </w:pPr>
                  <w:r w:rsidRPr="001D03E1">
                    <w:rPr>
                      <w:rFonts w:ascii="Calibri" w:hAnsi="Calibri"/>
                      <w:iCs/>
                      <w:color w:val="1F497D" w:themeColor="text2"/>
                      <w:sz w:val="22"/>
                      <w:szCs w:val="22"/>
                      <w:lang w:val="el-GR"/>
                    </w:rPr>
                    <w:t>Σύνολο</w:t>
                  </w:r>
                  <w:r w:rsidR="009E7285" w:rsidRPr="001D03E1">
                    <w:rPr>
                      <w:rFonts w:ascii="Calibri" w:hAnsi="Calibri"/>
                      <w:iCs/>
                      <w:color w:val="1F497D" w:themeColor="text2"/>
                      <w:sz w:val="22"/>
                      <w:szCs w:val="22"/>
                    </w:rPr>
                    <w:t xml:space="preserve"> </w:t>
                  </w:r>
                  <w:r w:rsidRPr="001D03E1">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1D03E1" w:rsidRDefault="00B14B74" w:rsidP="00C44467">
                  <w:pPr>
                    <w:jc w:val="center"/>
                    <w:rPr>
                      <w:rFonts w:ascii="Calibri" w:hAnsi="Calibri" w:cs="Arial"/>
                      <w:color w:val="1F497D" w:themeColor="text2"/>
                      <w:lang w:val="el-GR"/>
                    </w:rPr>
                  </w:pPr>
                  <w:r w:rsidRPr="001D03E1">
                    <w:rPr>
                      <w:rFonts w:ascii="Calibri" w:hAnsi="Calibri" w:cs="Arial"/>
                      <w:color w:val="1F497D" w:themeColor="text2"/>
                      <w:sz w:val="22"/>
                      <w:szCs w:val="22"/>
                      <w:lang w:val="el-GR"/>
                    </w:rPr>
                    <w:t>125 ώρες</w:t>
                  </w:r>
                </w:p>
              </w:tc>
            </w:tr>
          </w:tbl>
          <w:p w14:paraId="7C72F9EB" w14:textId="77777777" w:rsidR="00B14B74" w:rsidRPr="001D03E1" w:rsidRDefault="00B14B74" w:rsidP="0001411A">
            <w:pPr>
              <w:rPr>
                <w:rFonts w:ascii="Tahoma" w:hAnsi="Tahoma" w:cs="Tahoma"/>
                <w:color w:val="1F497D" w:themeColor="text2"/>
              </w:rPr>
            </w:pPr>
          </w:p>
        </w:tc>
      </w:tr>
      <w:tr w:rsidR="00B14B74" w:rsidRPr="002D612B"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66BFF8F6" w:rsidR="00B14B74" w:rsidRPr="001D03E1" w:rsidRDefault="00B14B74" w:rsidP="0001411A">
            <w:pPr>
              <w:rPr>
                <w:rFonts w:ascii="Calibri" w:hAnsi="Calibri" w:cs="Arial"/>
                <w:color w:val="1F497D" w:themeColor="text2"/>
                <w:sz w:val="20"/>
                <w:szCs w:val="20"/>
                <w:lang w:val="el-GR"/>
              </w:rPr>
            </w:pPr>
            <w:r w:rsidRPr="001D03E1">
              <w:rPr>
                <w:rFonts w:ascii="Calibri" w:hAnsi="Calibri" w:cs="Arial"/>
                <w:color w:val="1F497D" w:themeColor="text2"/>
                <w:sz w:val="20"/>
                <w:szCs w:val="20"/>
                <w:lang w:val="el-GR"/>
              </w:rPr>
              <w:lastRenderedPageBreak/>
              <w:t>Γραπτές εξετάσεις στο τέλος του μαθήματος και εξετάσεις προόδου κατά την διάρκεια του εξαμήνου.</w:t>
            </w:r>
          </w:p>
          <w:p w14:paraId="6DBED0B4" w14:textId="4C597357" w:rsidR="00284016" w:rsidRPr="001D03E1" w:rsidRDefault="00284016" w:rsidP="0001411A">
            <w:pPr>
              <w:rPr>
                <w:rFonts w:ascii="Calibri" w:hAnsi="Calibri" w:cs="Arial"/>
                <w:color w:val="1F497D" w:themeColor="text2"/>
                <w:sz w:val="20"/>
                <w:szCs w:val="20"/>
                <w:lang w:val="el-GR"/>
              </w:rPr>
            </w:pPr>
          </w:p>
          <w:p w14:paraId="525E7649" w14:textId="29066A1A" w:rsidR="00B14B74" w:rsidRPr="001D03E1" w:rsidRDefault="00B14B74" w:rsidP="0001411A">
            <w:pPr>
              <w:rPr>
                <w:rFonts w:ascii="Calibri" w:hAnsi="Calibri" w:cs="Arial"/>
                <w:color w:val="1F497D" w:themeColor="text2"/>
                <w:sz w:val="20"/>
                <w:szCs w:val="20"/>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BB29A9D" w14:textId="77777777" w:rsidR="004D34B5" w:rsidRPr="00D06580" w:rsidRDefault="004D34B5" w:rsidP="004D34B5">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4DE26010" w14:textId="77777777" w:rsidR="004D34B5" w:rsidRPr="0086226B" w:rsidRDefault="004D34B5" w:rsidP="004D34B5">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7899B49B" w14:textId="77777777" w:rsidR="004D34B5" w:rsidRPr="001D03E1" w:rsidRDefault="004D34B5" w:rsidP="00746551">
            <w:pPr>
              <w:jc w:val="both"/>
              <w:rPr>
                <w:rFonts w:asciiTheme="minorHAnsi" w:hAnsiTheme="minorHAnsi" w:cstheme="minorHAnsi"/>
                <w:b/>
                <w:color w:val="1F497D" w:themeColor="text2"/>
                <w:sz w:val="20"/>
                <w:szCs w:val="20"/>
                <w:u w:val="single"/>
                <w:lang w:val="el-GR"/>
              </w:rPr>
            </w:pPr>
          </w:p>
          <w:p w14:paraId="4C2988A9" w14:textId="671116E5" w:rsidR="004E166A" w:rsidRPr="001D03E1" w:rsidRDefault="004E166A" w:rsidP="001D03E1">
            <w:pPr>
              <w:numPr>
                <w:ilvl w:val="0"/>
                <w:numId w:val="47"/>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R</w:t>
            </w:r>
            <w:r w:rsidRPr="001D03E1">
              <w:rPr>
                <w:rFonts w:asciiTheme="minorHAnsi" w:hAnsiTheme="minorHAnsi" w:cstheme="minorHAnsi"/>
                <w:color w:val="1F497D" w:themeColor="text2"/>
                <w:sz w:val="20"/>
                <w:szCs w:val="20"/>
              </w:rPr>
              <w:t>ichard</w:t>
            </w:r>
            <w:r w:rsidRPr="001D03E1">
              <w:rPr>
                <w:rFonts w:asciiTheme="minorHAnsi" w:hAnsiTheme="minorHAnsi" w:cstheme="minorHAnsi"/>
                <w:color w:val="1F497D" w:themeColor="text2"/>
                <w:sz w:val="20"/>
                <w:szCs w:val="20"/>
                <w:lang w:val="el-GR"/>
              </w:rPr>
              <w:t xml:space="preserve"> Brealey, S</w:t>
            </w:r>
            <w:r w:rsidRPr="001D03E1">
              <w:rPr>
                <w:rFonts w:asciiTheme="minorHAnsi" w:hAnsiTheme="minorHAnsi" w:cstheme="minorHAnsi"/>
                <w:color w:val="1F497D" w:themeColor="text2"/>
                <w:sz w:val="20"/>
                <w:szCs w:val="20"/>
              </w:rPr>
              <w:t>tewart</w:t>
            </w:r>
            <w:r w:rsidRPr="001D03E1">
              <w:rPr>
                <w:rFonts w:asciiTheme="minorHAnsi" w:hAnsiTheme="minorHAnsi" w:cstheme="minorHAnsi"/>
                <w:color w:val="1F497D" w:themeColor="text2"/>
                <w:sz w:val="20"/>
                <w:szCs w:val="20"/>
                <w:lang w:val="el-GR"/>
              </w:rPr>
              <w:t xml:space="preserve"> Myers, F</w:t>
            </w:r>
            <w:r w:rsidRPr="001D03E1">
              <w:rPr>
                <w:rFonts w:asciiTheme="minorHAnsi" w:hAnsiTheme="minorHAnsi" w:cstheme="minorHAnsi"/>
                <w:color w:val="1F497D" w:themeColor="text2"/>
                <w:sz w:val="20"/>
                <w:szCs w:val="20"/>
              </w:rPr>
              <w:t>ranklin</w:t>
            </w:r>
            <w:r w:rsidRPr="001D03E1">
              <w:rPr>
                <w:rFonts w:asciiTheme="minorHAnsi" w:hAnsiTheme="minorHAnsi" w:cstheme="minorHAnsi"/>
                <w:color w:val="1F497D" w:themeColor="text2"/>
                <w:sz w:val="20"/>
                <w:szCs w:val="20"/>
                <w:lang w:val="el-GR"/>
              </w:rPr>
              <w:t xml:space="preserve"> Allen (2013), Αρχές Χρηματοοικονομικής των Επιχειρήσεων, Εκδόσεις Utopia.</w:t>
            </w:r>
          </w:p>
          <w:p w14:paraId="2527C017" w14:textId="15FCE2D0" w:rsidR="006D5687" w:rsidRPr="001D03E1" w:rsidRDefault="006A612F" w:rsidP="001D03E1">
            <w:pPr>
              <w:numPr>
                <w:ilvl w:val="0"/>
                <w:numId w:val="47"/>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 xml:space="preserve">Δράκος </w:t>
            </w:r>
            <w:r w:rsidR="006D5687" w:rsidRPr="001D03E1">
              <w:rPr>
                <w:rFonts w:asciiTheme="minorHAnsi" w:hAnsiTheme="minorHAnsi" w:cstheme="minorHAnsi"/>
                <w:color w:val="1F497D" w:themeColor="text2"/>
                <w:sz w:val="20"/>
                <w:szCs w:val="20"/>
                <w:lang w:val="el-GR"/>
              </w:rPr>
              <w:t>Αν</w:t>
            </w:r>
            <w:r w:rsidRPr="001D03E1">
              <w:rPr>
                <w:rFonts w:asciiTheme="minorHAnsi" w:hAnsiTheme="minorHAnsi" w:cstheme="minorHAnsi"/>
                <w:color w:val="1F497D" w:themeColor="text2"/>
                <w:sz w:val="20"/>
                <w:szCs w:val="20"/>
                <w:lang w:val="el-GR"/>
              </w:rPr>
              <w:t xml:space="preserve">. &amp; </w:t>
            </w:r>
            <w:r w:rsidR="006D5687" w:rsidRPr="001D03E1">
              <w:rPr>
                <w:rFonts w:asciiTheme="minorHAnsi" w:hAnsiTheme="minorHAnsi" w:cstheme="minorHAnsi"/>
                <w:color w:val="1F497D" w:themeColor="text2"/>
                <w:sz w:val="20"/>
                <w:szCs w:val="20"/>
                <w:lang w:val="el-GR"/>
              </w:rPr>
              <w:t>Καραθανάσης</w:t>
            </w:r>
            <w:r w:rsidRPr="001D03E1">
              <w:rPr>
                <w:rFonts w:asciiTheme="minorHAnsi" w:hAnsiTheme="minorHAnsi" w:cstheme="minorHAnsi"/>
                <w:color w:val="1F497D" w:themeColor="text2"/>
                <w:sz w:val="20"/>
                <w:szCs w:val="20"/>
                <w:lang w:val="el-GR"/>
              </w:rPr>
              <w:t xml:space="preserve"> Γ.</w:t>
            </w:r>
            <w:r w:rsidR="006D5687" w:rsidRPr="001D03E1">
              <w:rPr>
                <w:rFonts w:asciiTheme="minorHAnsi" w:hAnsiTheme="minorHAnsi" w:cstheme="minorHAnsi"/>
                <w:color w:val="1F497D" w:themeColor="text2"/>
                <w:sz w:val="20"/>
                <w:szCs w:val="20"/>
                <w:lang w:val="el-GR"/>
              </w:rPr>
              <w:t xml:space="preserve"> (2017), Χρηματοοικονομική Διοίκηση των Επιχειρήσεων, 2</w:t>
            </w:r>
            <w:r w:rsidR="006D5687" w:rsidRPr="001D03E1">
              <w:rPr>
                <w:rFonts w:asciiTheme="minorHAnsi" w:hAnsiTheme="minorHAnsi" w:cstheme="minorHAnsi"/>
                <w:color w:val="1F497D" w:themeColor="text2"/>
                <w:sz w:val="20"/>
                <w:szCs w:val="20"/>
                <w:vertAlign w:val="superscript"/>
                <w:lang w:val="el-GR"/>
              </w:rPr>
              <w:t>η</w:t>
            </w:r>
            <w:r w:rsidR="006D5687" w:rsidRPr="001D03E1">
              <w:rPr>
                <w:rFonts w:asciiTheme="minorHAnsi" w:hAnsiTheme="minorHAnsi" w:cstheme="minorHAnsi"/>
                <w:color w:val="1F497D" w:themeColor="text2"/>
                <w:sz w:val="20"/>
                <w:szCs w:val="20"/>
                <w:lang w:val="el-GR"/>
              </w:rPr>
              <w:t xml:space="preserve">  έκδοση, Αθήνα: Εκδόσεις Μπέννου.</w:t>
            </w:r>
          </w:p>
          <w:p w14:paraId="38FAA10D" w14:textId="039A0FE1" w:rsidR="00650E8F" w:rsidRPr="001D03E1" w:rsidRDefault="006D5687" w:rsidP="001D03E1">
            <w:pPr>
              <w:numPr>
                <w:ilvl w:val="0"/>
                <w:numId w:val="47"/>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rPr>
              <w:t>K</w:t>
            </w:r>
            <w:r w:rsidRPr="001D03E1">
              <w:rPr>
                <w:rFonts w:asciiTheme="minorHAnsi" w:hAnsiTheme="minorHAnsi" w:cstheme="minorHAnsi"/>
                <w:color w:val="1F497D" w:themeColor="text2"/>
                <w:sz w:val="20"/>
                <w:szCs w:val="20"/>
                <w:lang w:val="el-GR"/>
              </w:rPr>
              <w:t>.</w:t>
            </w:r>
            <w:r w:rsidRPr="001D03E1">
              <w:rPr>
                <w:rFonts w:asciiTheme="minorHAnsi" w:hAnsiTheme="minorHAnsi" w:cstheme="minorHAnsi"/>
                <w:color w:val="1F497D" w:themeColor="text2"/>
                <w:sz w:val="20"/>
                <w:szCs w:val="20"/>
              </w:rPr>
              <w:t>R</w:t>
            </w:r>
            <w:r w:rsidRPr="001D03E1">
              <w:rPr>
                <w:rFonts w:asciiTheme="minorHAnsi" w:hAnsiTheme="minorHAnsi" w:cstheme="minorHAnsi"/>
                <w:color w:val="1F497D" w:themeColor="text2"/>
                <w:sz w:val="20"/>
                <w:szCs w:val="20"/>
                <w:lang w:val="el-GR"/>
              </w:rPr>
              <w:t xml:space="preserve">. </w:t>
            </w:r>
            <w:r w:rsidR="00650E8F" w:rsidRPr="001D03E1">
              <w:rPr>
                <w:rFonts w:asciiTheme="minorHAnsi" w:hAnsiTheme="minorHAnsi" w:cstheme="minorHAnsi"/>
                <w:color w:val="1F497D" w:themeColor="text2"/>
                <w:sz w:val="20"/>
                <w:szCs w:val="20"/>
              </w:rPr>
              <w:t>Subramanyan</w:t>
            </w:r>
            <w:r w:rsidR="00650E8F" w:rsidRPr="001D03E1">
              <w:rPr>
                <w:rFonts w:asciiTheme="minorHAnsi" w:hAnsiTheme="minorHAnsi" w:cstheme="minorHAnsi"/>
                <w:color w:val="1F497D" w:themeColor="text2"/>
                <w:sz w:val="20"/>
                <w:szCs w:val="20"/>
                <w:lang w:val="el-GR"/>
              </w:rPr>
              <w:t xml:space="preserve"> &amp; </w:t>
            </w:r>
            <w:r w:rsidR="004E166A" w:rsidRPr="001D03E1">
              <w:rPr>
                <w:rFonts w:asciiTheme="minorHAnsi" w:hAnsiTheme="minorHAnsi" w:cstheme="minorHAnsi"/>
                <w:color w:val="1F497D" w:themeColor="text2"/>
                <w:sz w:val="20"/>
                <w:szCs w:val="20"/>
              </w:rPr>
              <w:t>John</w:t>
            </w:r>
            <w:r w:rsidR="004E166A" w:rsidRPr="001D03E1">
              <w:rPr>
                <w:rFonts w:asciiTheme="minorHAnsi" w:hAnsiTheme="minorHAnsi" w:cstheme="minorHAnsi"/>
                <w:color w:val="1F497D" w:themeColor="text2"/>
                <w:sz w:val="20"/>
                <w:szCs w:val="20"/>
                <w:lang w:val="el-GR"/>
              </w:rPr>
              <w:t xml:space="preserve"> </w:t>
            </w:r>
            <w:r w:rsidR="00650E8F" w:rsidRPr="001D03E1">
              <w:rPr>
                <w:rFonts w:asciiTheme="minorHAnsi" w:hAnsiTheme="minorHAnsi" w:cstheme="minorHAnsi"/>
                <w:color w:val="1F497D" w:themeColor="text2"/>
                <w:sz w:val="20"/>
                <w:szCs w:val="20"/>
              </w:rPr>
              <w:t>Wild</w:t>
            </w:r>
            <w:r w:rsidR="00650E8F" w:rsidRPr="001D03E1">
              <w:rPr>
                <w:rFonts w:asciiTheme="minorHAnsi" w:hAnsiTheme="minorHAnsi" w:cstheme="minorHAnsi"/>
                <w:color w:val="1F497D" w:themeColor="text2"/>
                <w:sz w:val="20"/>
                <w:szCs w:val="20"/>
                <w:lang w:val="el-GR"/>
              </w:rPr>
              <w:t>,</w:t>
            </w:r>
            <w:r w:rsidR="004E166A" w:rsidRPr="001D03E1">
              <w:rPr>
                <w:rFonts w:asciiTheme="minorHAnsi" w:hAnsiTheme="minorHAnsi" w:cstheme="minorHAnsi"/>
                <w:color w:val="1F497D" w:themeColor="text2"/>
                <w:sz w:val="20"/>
                <w:szCs w:val="20"/>
                <w:lang w:val="el-GR"/>
              </w:rPr>
              <w:t xml:space="preserve"> </w:t>
            </w:r>
            <w:r w:rsidR="00650E8F" w:rsidRPr="001D03E1">
              <w:rPr>
                <w:rFonts w:asciiTheme="minorHAnsi" w:hAnsiTheme="minorHAnsi" w:cstheme="minorHAnsi"/>
                <w:color w:val="1F497D" w:themeColor="text2"/>
                <w:sz w:val="20"/>
                <w:szCs w:val="20"/>
                <w:lang w:val="el-GR"/>
              </w:rPr>
              <w:t>(2017), Ανάλυση Χρηματοοικονομικών Καταστάσεων, Broken</w:t>
            </w:r>
            <w:r w:rsidR="001D03E1">
              <w:rPr>
                <w:rFonts w:asciiTheme="minorHAnsi" w:hAnsiTheme="minorHAnsi" w:cstheme="minorHAnsi"/>
                <w:color w:val="1F497D" w:themeColor="text2"/>
                <w:sz w:val="20"/>
                <w:szCs w:val="20"/>
                <w:lang w:val="el-GR"/>
              </w:rPr>
              <w:t xml:space="preserve"> </w:t>
            </w:r>
            <w:r w:rsidR="00650E8F" w:rsidRPr="001D03E1">
              <w:rPr>
                <w:rFonts w:asciiTheme="minorHAnsi" w:hAnsiTheme="minorHAnsi" w:cstheme="minorHAnsi"/>
                <w:color w:val="1F497D" w:themeColor="text2"/>
                <w:sz w:val="20"/>
                <w:szCs w:val="20"/>
                <w:lang w:val="el-GR"/>
              </w:rPr>
              <w:t>Hill Εκδόσεις.</w:t>
            </w:r>
          </w:p>
          <w:p w14:paraId="5085A005" w14:textId="336EB4F8" w:rsidR="006D5687" w:rsidRPr="001D03E1" w:rsidRDefault="006A612F" w:rsidP="001D03E1">
            <w:pPr>
              <w:numPr>
                <w:ilvl w:val="0"/>
                <w:numId w:val="47"/>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 xml:space="preserve">Βασιλείου </w:t>
            </w:r>
            <w:r w:rsidR="00144B16" w:rsidRPr="001D03E1">
              <w:rPr>
                <w:rFonts w:asciiTheme="minorHAnsi" w:hAnsiTheme="minorHAnsi" w:cstheme="minorHAnsi"/>
                <w:color w:val="1F497D" w:themeColor="text2"/>
                <w:sz w:val="20"/>
                <w:szCs w:val="20"/>
                <w:lang w:val="el-GR"/>
              </w:rPr>
              <w:t>Δ</w:t>
            </w:r>
            <w:r w:rsidRPr="001D03E1">
              <w:rPr>
                <w:rFonts w:asciiTheme="minorHAnsi" w:hAnsiTheme="minorHAnsi" w:cstheme="minorHAnsi"/>
                <w:color w:val="1F497D" w:themeColor="text2"/>
                <w:sz w:val="20"/>
                <w:szCs w:val="20"/>
                <w:lang w:val="el-GR"/>
              </w:rPr>
              <w:t xml:space="preserve">. &amp; </w:t>
            </w:r>
            <w:r w:rsidR="006D5687" w:rsidRPr="001D03E1">
              <w:rPr>
                <w:rFonts w:asciiTheme="minorHAnsi" w:hAnsiTheme="minorHAnsi" w:cstheme="minorHAnsi"/>
                <w:color w:val="1F497D" w:themeColor="text2"/>
                <w:sz w:val="20"/>
                <w:szCs w:val="20"/>
                <w:lang w:val="el-GR"/>
              </w:rPr>
              <w:t>Ηρειώτης</w:t>
            </w:r>
            <w:r w:rsidRPr="001D03E1">
              <w:rPr>
                <w:rFonts w:asciiTheme="minorHAnsi" w:hAnsiTheme="minorHAnsi" w:cstheme="minorHAnsi"/>
                <w:color w:val="1F497D" w:themeColor="text2"/>
                <w:sz w:val="20"/>
                <w:szCs w:val="20"/>
                <w:lang w:val="el-GR"/>
              </w:rPr>
              <w:t xml:space="preserve"> Ν.</w:t>
            </w:r>
            <w:r w:rsidR="006D5687" w:rsidRPr="001D03E1">
              <w:rPr>
                <w:rFonts w:asciiTheme="minorHAnsi" w:hAnsiTheme="minorHAnsi" w:cstheme="minorHAnsi"/>
                <w:color w:val="1F497D" w:themeColor="text2"/>
                <w:sz w:val="20"/>
                <w:szCs w:val="20"/>
                <w:lang w:val="el-GR"/>
              </w:rPr>
              <w:t xml:space="preserve"> (2016), «</w:t>
            </w:r>
            <w:r w:rsidR="00144B16" w:rsidRPr="001D03E1">
              <w:rPr>
                <w:rFonts w:asciiTheme="minorHAnsi" w:hAnsiTheme="minorHAnsi" w:cstheme="minorHAnsi"/>
                <w:color w:val="1F497D" w:themeColor="text2"/>
                <w:sz w:val="20"/>
                <w:szCs w:val="20"/>
                <w:lang w:val="el-GR"/>
              </w:rPr>
              <w:t>Χρηματοοικονομική Διοίκηση: Θεωρία και Πρακτική», Αθήνα: Εκδόσεις Rosili</w:t>
            </w:r>
            <w:r w:rsidR="006D5687" w:rsidRPr="001D03E1">
              <w:rPr>
                <w:rFonts w:asciiTheme="minorHAnsi" w:hAnsiTheme="minorHAnsi" w:cstheme="minorHAnsi"/>
                <w:color w:val="1F497D" w:themeColor="text2"/>
                <w:sz w:val="20"/>
                <w:szCs w:val="20"/>
                <w:lang w:val="el-GR"/>
              </w:rPr>
              <w:t xml:space="preserve">. </w:t>
            </w:r>
          </w:p>
          <w:p w14:paraId="63E545DF" w14:textId="56C2EEB9" w:rsidR="006D5687" w:rsidRPr="001D03E1" w:rsidRDefault="006A612F" w:rsidP="001D03E1">
            <w:pPr>
              <w:numPr>
                <w:ilvl w:val="0"/>
                <w:numId w:val="47"/>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lang w:val="el-GR"/>
              </w:rPr>
              <w:t xml:space="preserve">Αλεξάκης </w:t>
            </w:r>
            <w:r w:rsidR="006D5687" w:rsidRPr="001D03E1">
              <w:rPr>
                <w:rFonts w:asciiTheme="minorHAnsi" w:hAnsiTheme="minorHAnsi" w:cstheme="minorHAnsi"/>
                <w:color w:val="1F497D" w:themeColor="text2"/>
                <w:sz w:val="20"/>
                <w:szCs w:val="20"/>
                <w:lang w:val="el-GR"/>
              </w:rPr>
              <w:t>Χ</w:t>
            </w:r>
            <w:r w:rsidRPr="001D03E1">
              <w:rPr>
                <w:rFonts w:asciiTheme="minorHAnsi" w:hAnsiTheme="minorHAnsi" w:cstheme="minorHAnsi"/>
                <w:color w:val="1F497D" w:themeColor="text2"/>
                <w:sz w:val="20"/>
                <w:szCs w:val="20"/>
                <w:lang w:val="el-GR"/>
              </w:rPr>
              <w:t>.</w:t>
            </w:r>
            <w:r w:rsidR="006D5687" w:rsidRPr="001D03E1">
              <w:rPr>
                <w:rFonts w:asciiTheme="minorHAnsi" w:hAnsiTheme="minorHAnsi" w:cstheme="minorHAnsi"/>
                <w:color w:val="1F497D" w:themeColor="text2"/>
                <w:sz w:val="20"/>
                <w:szCs w:val="20"/>
                <w:lang w:val="el-GR"/>
              </w:rPr>
              <w:t xml:space="preserve"> &amp; Ξανθάκης</w:t>
            </w:r>
            <w:r w:rsidRPr="001D03E1">
              <w:rPr>
                <w:rFonts w:asciiTheme="minorHAnsi" w:hAnsiTheme="minorHAnsi" w:cstheme="minorHAnsi"/>
                <w:color w:val="1F497D" w:themeColor="text2"/>
                <w:sz w:val="20"/>
                <w:szCs w:val="20"/>
                <w:lang w:val="el-GR"/>
              </w:rPr>
              <w:t xml:space="preserve"> Εμ.</w:t>
            </w:r>
            <w:r w:rsidR="006D5687" w:rsidRPr="001D03E1">
              <w:rPr>
                <w:rFonts w:asciiTheme="minorHAnsi" w:hAnsiTheme="minorHAnsi" w:cstheme="minorHAnsi"/>
                <w:color w:val="1F497D" w:themeColor="text2"/>
                <w:sz w:val="20"/>
                <w:szCs w:val="20"/>
                <w:lang w:val="el-GR"/>
              </w:rPr>
              <w:t>, (2006), «Χρηματοοικονομική ανάλυση επιχειρήσεων», Αθήνα: Εκδόσεις Σταμούλη.</w:t>
            </w:r>
          </w:p>
          <w:p w14:paraId="0A149739" w14:textId="193FCB82" w:rsidR="00144B16" w:rsidRDefault="00144B16" w:rsidP="006D5687">
            <w:pPr>
              <w:ind w:left="720"/>
              <w:jc w:val="both"/>
              <w:rPr>
                <w:rFonts w:asciiTheme="minorHAnsi" w:hAnsiTheme="minorHAnsi" w:cstheme="minorHAnsi"/>
                <w:color w:val="1F497D" w:themeColor="text2"/>
                <w:sz w:val="20"/>
                <w:szCs w:val="20"/>
                <w:lang w:val="el-GR"/>
              </w:rPr>
            </w:pPr>
          </w:p>
          <w:p w14:paraId="20063405" w14:textId="77777777" w:rsidR="004D34B5" w:rsidRPr="0086226B" w:rsidRDefault="004D34B5" w:rsidP="004D34B5">
            <w:pPr>
              <w:pStyle w:val="ListParagraph"/>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3F6EFDAA" w14:textId="77777777" w:rsidR="004D34B5" w:rsidRPr="001D03E1" w:rsidRDefault="004D34B5" w:rsidP="006D5687">
            <w:pPr>
              <w:ind w:left="720"/>
              <w:jc w:val="both"/>
              <w:rPr>
                <w:rFonts w:asciiTheme="minorHAnsi" w:hAnsiTheme="minorHAnsi" w:cstheme="minorHAnsi"/>
                <w:color w:val="1F497D" w:themeColor="text2"/>
                <w:sz w:val="20"/>
                <w:szCs w:val="20"/>
                <w:lang w:val="el-GR"/>
              </w:rPr>
            </w:pPr>
          </w:p>
          <w:p w14:paraId="485EBEA9" w14:textId="0D0C8E03" w:rsidR="00AE5B4B" w:rsidRPr="004D34B5" w:rsidRDefault="00AE5B4B" w:rsidP="001D03E1">
            <w:pPr>
              <w:pStyle w:val="ListParagraph"/>
              <w:numPr>
                <w:ilvl w:val="0"/>
                <w:numId w:val="48"/>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 xml:space="preserve">Eiteman, D. K., Stonehill, A. I., Moffett, M. H., &amp; Kwok, C. (1989). </w:t>
            </w:r>
            <w:r w:rsidRPr="004D34B5">
              <w:rPr>
                <w:rFonts w:asciiTheme="minorHAnsi" w:hAnsiTheme="minorHAnsi" w:cstheme="minorHAnsi"/>
                <w:color w:val="1F497D" w:themeColor="text2"/>
                <w:sz w:val="20"/>
                <w:szCs w:val="20"/>
              </w:rPr>
              <w:t xml:space="preserve">Multinational business </w:t>
            </w:r>
            <w:r w:rsidRPr="001D03E1">
              <w:rPr>
                <w:rFonts w:asciiTheme="minorHAnsi" w:hAnsiTheme="minorHAnsi" w:cstheme="minorHAnsi"/>
                <w:color w:val="1F497D" w:themeColor="text2"/>
                <w:sz w:val="20"/>
                <w:szCs w:val="20"/>
              </w:rPr>
              <w:t>finance (pp. 574-575). Reading, MA: Addison-Wesley.</w:t>
            </w:r>
          </w:p>
          <w:p w14:paraId="4C29FEB0" w14:textId="739FE21A" w:rsidR="00AE5B4B" w:rsidRPr="001D03E1" w:rsidRDefault="00AE5B4B" w:rsidP="001D03E1">
            <w:pPr>
              <w:pStyle w:val="ListParagraph"/>
              <w:numPr>
                <w:ilvl w:val="0"/>
                <w:numId w:val="48"/>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Hyytinen, A., &amp; Väänänen, L. (2002). Government funding of small and medium-sized enterprises in Finland (No. 832). ETLA Discussion Papers, The Research Institute of the Finnish Economy (ETLA).</w:t>
            </w:r>
          </w:p>
          <w:p w14:paraId="021C791D" w14:textId="77777777" w:rsidR="00AE5B4B" w:rsidRPr="001D03E1" w:rsidRDefault="00AE5B4B" w:rsidP="001D03E1">
            <w:pPr>
              <w:pStyle w:val="ListParagraph"/>
              <w:numPr>
                <w:ilvl w:val="0"/>
                <w:numId w:val="48"/>
              </w:numPr>
              <w:jc w:val="both"/>
              <w:rPr>
                <w:rFonts w:asciiTheme="minorHAnsi" w:hAnsiTheme="minorHAnsi" w:cstheme="minorHAnsi"/>
                <w:color w:val="1F497D" w:themeColor="text2"/>
                <w:sz w:val="20"/>
                <w:szCs w:val="20"/>
                <w:lang w:val="el-GR"/>
              </w:rPr>
            </w:pPr>
            <w:r w:rsidRPr="001D03E1">
              <w:rPr>
                <w:rFonts w:asciiTheme="minorHAnsi" w:hAnsiTheme="minorHAnsi" w:cstheme="minorHAnsi"/>
                <w:color w:val="1F497D" w:themeColor="text2"/>
                <w:sz w:val="20"/>
                <w:szCs w:val="20"/>
              </w:rPr>
              <w:t xml:space="preserve">McLaney, E. (2006). Business finance: theory and practice. </w:t>
            </w:r>
            <w:r w:rsidRPr="001D03E1">
              <w:rPr>
                <w:rFonts w:asciiTheme="minorHAnsi" w:hAnsiTheme="minorHAnsi" w:cstheme="minorHAnsi"/>
                <w:color w:val="1F497D" w:themeColor="text2"/>
                <w:sz w:val="20"/>
                <w:szCs w:val="20"/>
                <w:lang w:val="el-GR"/>
              </w:rPr>
              <w:t>Pearson Education: USA.</w:t>
            </w:r>
          </w:p>
          <w:p w14:paraId="6A88FADA" w14:textId="5C0D650A" w:rsidR="00AE5B4B" w:rsidRPr="001D03E1" w:rsidRDefault="00AE5B4B" w:rsidP="001D03E1">
            <w:pPr>
              <w:pStyle w:val="ListParagraph"/>
              <w:numPr>
                <w:ilvl w:val="0"/>
                <w:numId w:val="48"/>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Mian, A., &amp; Sufi, A. (2018). Finance and business cycles: the credit-driven household demand channel. Journal of Economic Perspectives, 32(3), 31-58.</w:t>
            </w:r>
          </w:p>
          <w:p w14:paraId="240C6772" w14:textId="77777777" w:rsidR="00AE5B4B" w:rsidRPr="001D03E1" w:rsidRDefault="00AE5B4B" w:rsidP="001D03E1">
            <w:pPr>
              <w:pStyle w:val="ListParagraph"/>
              <w:numPr>
                <w:ilvl w:val="0"/>
                <w:numId w:val="48"/>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Titman, S. (2016). Financing Enterprises. Pearson: USA.</w:t>
            </w:r>
          </w:p>
          <w:p w14:paraId="4A19408F" w14:textId="77777777" w:rsidR="00AE5B4B" w:rsidRPr="001D03E1" w:rsidRDefault="00AE5B4B" w:rsidP="001D03E1">
            <w:pPr>
              <w:pStyle w:val="ListParagraph"/>
              <w:numPr>
                <w:ilvl w:val="0"/>
                <w:numId w:val="48"/>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Young, D. R. (2017). Financing nonprofits and other social enterprises: A benefits approach.Edward Elgar Publishing.</w:t>
            </w:r>
            <w:r w:rsidRPr="001D03E1">
              <w:rPr>
                <w:rFonts w:asciiTheme="minorHAnsi" w:hAnsiTheme="minorHAnsi" w:cstheme="minorHAnsi"/>
                <w:i/>
                <w:color w:val="1F497D" w:themeColor="text2"/>
                <w:sz w:val="20"/>
                <w:szCs w:val="20"/>
              </w:rPr>
              <w:t xml:space="preserve"> </w:t>
            </w:r>
          </w:p>
          <w:p w14:paraId="63A1E15F" w14:textId="378D06B2" w:rsidR="00144B16" w:rsidRPr="001D03E1" w:rsidRDefault="00144B16" w:rsidP="001D03E1">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Abdulsaleh, A. M., &amp; Worthington, A. C. (2013). Small and medium-sized enterprises</w:t>
            </w:r>
            <w:r w:rsidR="001D03E1" w:rsidRPr="001D03E1">
              <w:rPr>
                <w:rFonts w:asciiTheme="minorHAnsi" w:hAnsiTheme="minorHAnsi" w:cstheme="minorHAnsi"/>
                <w:color w:val="1F497D" w:themeColor="text2"/>
                <w:sz w:val="20"/>
                <w:szCs w:val="20"/>
              </w:rPr>
              <w:t xml:space="preserve"> </w:t>
            </w:r>
            <w:r w:rsidRPr="001D03E1">
              <w:rPr>
                <w:rFonts w:asciiTheme="minorHAnsi" w:hAnsiTheme="minorHAnsi" w:cstheme="minorHAnsi"/>
                <w:color w:val="1F497D" w:themeColor="text2"/>
                <w:sz w:val="20"/>
                <w:szCs w:val="20"/>
              </w:rPr>
              <w:t>financing: A review of literature. International Journal of Business and Management, 8(14), 36.</w:t>
            </w:r>
          </w:p>
          <w:p w14:paraId="10827F13" w14:textId="7954D152" w:rsidR="00144B16" w:rsidRPr="001D03E1" w:rsidRDefault="00144B16" w:rsidP="001D03E1">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Cull, R., Davis, L. E., Lamoreaux, N. R., &amp; Rosenthal, J. L. (2006). Historical financing of small-and medium-size enterprises. Journal of Banking &amp; Finance, 30(11), 3017-3042.</w:t>
            </w:r>
          </w:p>
          <w:p w14:paraId="7951AB07" w14:textId="77777777" w:rsidR="00144B16" w:rsidRPr="001D03E1" w:rsidRDefault="00144B16" w:rsidP="001D03E1">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Czarnitzki, D. (2006). Research and development in small and medium‐sized enterprises:</w:t>
            </w:r>
          </w:p>
          <w:p w14:paraId="1FCF8A9C" w14:textId="2C38A2A0" w:rsidR="00144B16" w:rsidRPr="001D03E1" w:rsidRDefault="00144B16" w:rsidP="001D03E1">
            <w:pPr>
              <w:pStyle w:val="ListParagraph"/>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The role of financial constraints and public funding. Scottish journal of political economy,  53(3), 335-357.</w:t>
            </w:r>
          </w:p>
          <w:p w14:paraId="2A448643" w14:textId="0AD6D4B7" w:rsidR="00144B16" w:rsidRPr="001D03E1" w:rsidRDefault="00144B16" w:rsidP="001D03E1">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Mian, A., &amp; Sufi, A. (2018). Finance and business cycles: the credit-driven household demand channel. Journal of Economic Perspectives, 32(3), 31-58.</w:t>
            </w:r>
          </w:p>
          <w:p w14:paraId="6EAB2E4B" w14:textId="77777777" w:rsidR="00144B16" w:rsidRPr="001D03E1" w:rsidRDefault="00144B16" w:rsidP="00144B16">
            <w:pPr>
              <w:ind w:left="720"/>
              <w:jc w:val="both"/>
              <w:rPr>
                <w:rFonts w:asciiTheme="minorHAnsi" w:hAnsiTheme="minorHAnsi" w:cstheme="minorHAnsi"/>
                <w:color w:val="1F497D" w:themeColor="text2"/>
                <w:sz w:val="20"/>
                <w:szCs w:val="20"/>
              </w:rPr>
            </w:pPr>
          </w:p>
          <w:p w14:paraId="44981577" w14:textId="77777777" w:rsidR="006A612F" w:rsidRPr="001D03E1" w:rsidRDefault="006A612F" w:rsidP="006A612F">
            <w:pPr>
              <w:ind w:left="360"/>
              <w:rPr>
                <w:rFonts w:asciiTheme="minorHAnsi" w:hAnsiTheme="minorHAnsi" w:cstheme="minorHAnsi"/>
                <w:i/>
                <w:color w:val="1F497D" w:themeColor="text2"/>
                <w:sz w:val="20"/>
                <w:szCs w:val="20"/>
              </w:rPr>
            </w:pPr>
            <w:r w:rsidRPr="001D03E1">
              <w:rPr>
                <w:rFonts w:asciiTheme="minorHAnsi" w:hAnsiTheme="minorHAnsi" w:cstheme="minorHAnsi"/>
                <w:i/>
                <w:color w:val="1F497D" w:themeColor="text2"/>
                <w:sz w:val="20"/>
                <w:szCs w:val="20"/>
                <w:lang w:val="el-GR"/>
              </w:rPr>
              <w:t>Συναφή</w:t>
            </w:r>
            <w:r w:rsidRPr="001D03E1">
              <w:rPr>
                <w:rFonts w:asciiTheme="minorHAnsi" w:hAnsiTheme="minorHAnsi" w:cstheme="minorHAnsi"/>
                <w:i/>
                <w:color w:val="1F497D" w:themeColor="text2"/>
                <w:sz w:val="20"/>
                <w:szCs w:val="20"/>
              </w:rPr>
              <w:t xml:space="preserve"> </w:t>
            </w:r>
            <w:r w:rsidRPr="001D03E1">
              <w:rPr>
                <w:rFonts w:asciiTheme="minorHAnsi" w:hAnsiTheme="minorHAnsi" w:cstheme="minorHAnsi"/>
                <w:i/>
                <w:color w:val="1F497D" w:themeColor="text2"/>
                <w:sz w:val="20"/>
                <w:szCs w:val="20"/>
                <w:lang w:val="el-GR"/>
              </w:rPr>
              <w:t>επιστημονικά</w:t>
            </w:r>
            <w:r w:rsidRPr="001D03E1">
              <w:rPr>
                <w:rFonts w:asciiTheme="minorHAnsi" w:hAnsiTheme="minorHAnsi" w:cstheme="minorHAnsi"/>
                <w:i/>
                <w:color w:val="1F497D" w:themeColor="text2"/>
                <w:sz w:val="20"/>
                <w:szCs w:val="20"/>
              </w:rPr>
              <w:t xml:space="preserve"> </w:t>
            </w:r>
            <w:r w:rsidRPr="001D03E1">
              <w:rPr>
                <w:rFonts w:asciiTheme="minorHAnsi" w:hAnsiTheme="minorHAnsi" w:cstheme="minorHAnsi"/>
                <w:i/>
                <w:color w:val="1F497D" w:themeColor="text2"/>
                <w:sz w:val="20"/>
                <w:szCs w:val="20"/>
                <w:lang w:val="el-GR"/>
              </w:rPr>
              <w:t>περιοδικά</w:t>
            </w:r>
          </w:p>
          <w:p w14:paraId="0BBF5A11" w14:textId="77777777" w:rsidR="0096758C" w:rsidRPr="001D03E1" w:rsidRDefault="0096758C"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Journal of Finance</w:t>
            </w:r>
          </w:p>
          <w:p w14:paraId="46EF073B" w14:textId="73003EB2" w:rsidR="0096758C" w:rsidRPr="001D03E1" w:rsidRDefault="0096758C"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Journal of Financial Economics</w:t>
            </w:r>
          </w:p>
          <w:p w14:paraId="6B722959" w14:textId="1FE2C9BB" w:rsidR="00AE5B4B" w:rsidRPr="001D03E1" w:rsidRDefault="00AE5B4B"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Journal of Economics and Finance</w:t>
            </w:r>
          </w:p>
          <w:p w14:paraId="5AF54018" w14:textId="72D77F70" w:rsidR="0096758C" w:rsidRPr="001D03E1" w:rsidRDefault="0096758C"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Review of Financial Studies</w:t>
            </w:r>
          </w:p>
          <w:p w14:paraId="0DA8B482" w14:textId="621CE43C" w:rsidR="0096758C" w:rsidRPr="001D03E1" w:rsidRDefault="0096758C"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Annual Review of Financial Economics</w:t>
            </w:r>
          </w:p>
          <w:p w14:paraId="09A52C62" w14:textId="572807E1" w:rsidR="00AE5B4B" w:rsidRPr="001D03E1" w:rsidRDefault="00AE5B4B"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lastRenderedPageBreak/>
              <w:t>Journal of International Money and Finance</w:t>
            </w:r>
          </w:p>
          <w:p w14:paraId="35C320A0" w14:textId="7C2194CC" w:rsidR="00650E8F" w:rsidRPr="001D03E1" w:rsidRDefault="00650E8F"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International Journal of Financial Studies</w:t>
            </w:r>
          </w:p>
          <w:p w14:paraId="7758FFB2" w14:textId="6B8D3C90" w:rsidR="00AE5B4B" w:rsidRPr="001D03E1" w:rsidRDefault="00AE5B4B" w:rsidP="004D34B5">
            <w:pPr>
              <w:numPr>
                <w:ilvl w:val="0"/>
                <w:numId w:val="50"/>
              </w:numPr>
              <w:jc w:val="both"/>
              <w:rPr>
                <w:rFonts w:asciiTheme="minorHAnsi" w:hAnsiTheme="minorHAnsi" w:cstheme="minorHAnsi"/>
                <w:color w:val="1F497D" w:themeColor="text2"/>
                <w:sz w:val="20"/>
                <w:szCs w:val="20"/>
              </w:rPr>
            </w:pPr>
            <w:r w:rsidRPr="001D03E1">
              <w:rPr>
                <w:rFonts w:asciiTheme="minorHAnsi" w:hAnsiTheme="minorHAnsi" w:cstheme="minorHAnsi"/>
                <w:color w:val="1F497D" w:themeColor="text2"/>
                <w:sz w:val="20"/>
                <w:szCs w:val="20"/>
              </w:rPr>
              <w:t>Economic Outlook</w:t>
            </w:r>
          </w:p>
          <w:p w14:paraId="549BFBA8" w14:textId="4CD2B27A" w:rsidR="009E26C7" w:rsidRPr="006A612F" w:rsidRDefault="00650E8F" w:rsidP="004D34B5">
            <w:pPr>
              <w:numPr>
                <w:ilvl w:val="0"/>
                <w:numId w:val="50"/>
              </w:numPr>
              <w:jc w:val="both"/>
              <w:rPr>
                <w:rFonts w:asciiTheme="minorHAnsi" w:hAnsiTheme="minorHAnsi" w:cstheme="minorHAnsi"/>
                <w:sz w:val="20"/>
                <w:szCs w:val="20"/>
              </w:rPr>
            </w:pPr>
            <w:r w:rsidRPr="001D03E1">
              <w:rPr>
                <w:rFonts w:asciiTheme="minorHAnsi" w:hAnsiTheme="minorHAnsi" w:cstheme="minorHAnsi"/>
                <w:color w:val="1F497D" w:themeColor="text2"/>
                <w:sz w:val="20"/>
                <w:szCs w:val="20"/>
              </w:rPr>
              <w:t>Economics World</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5B6219"/>
    <w:multiLevelType w:val="hybridMultilevel"/>
    <w:tmpl w:val="2630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5F7E98"/>
    <w:multiLevelType w:val="hybridMultilevel"/>
    <w:tmpl w:val="D57C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B42087E"/>
    <w:multiLevelType w:val="hybridMultilevel"/>
    <w:tmpl w:val="F81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DB4E5E"/>
    <w:multiLevelType w:val="hybridMultilevel"/>
    <w:tmpl w:val="83781D6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7205E4"/>
    <w:multiLevelType w:val="hybridMultilevel"/>
    <w:tmpl w:val="6A1C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69488A"/>
    <w:multiLevelType w:val="hybridMultilevel"/>
    <w:tmpl w:val="3E0EFBB6"/>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FF3141"/>
    <w:multiLevelType w:val="hybridMultilevel"/>
    <w:tmpl w:val="8E1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C5F7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1C0E80"/>
    <w:multiLevelType w:val="hybridMultilevel"/>
    <w:tmpl w:val="DCAA0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DA4"/>
    <w:multiLevelType w:val="hybridMultilevel"/>
    <w:tmpl w:val="5CEC45C6"/>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E91078F"/>
    <w:multiLevelType w:val="hybridMultilevel"/>
    <w:tmpl w:val="639E3AA4"/>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42B5B35"/>
    <w:multiLevelType w:val="hybridMultilevel"/>
    <w:tmpl w:val="792C30BC"/>
    <w:lvl w:ilvl="0" w:tplc="48D8F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4F18B8"/>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3" w15:restartNumberingAfterBreak="0">
    <w:nsid w:val="6C48612C"/>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375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189342">
    <w:abstractNumId w:val="42"/>
  </w:num>
  <w:num w:numId="3" w16cid:durableId="1761902554">
    <w:abstractNumId w:val="0"/>
  </w:num>
  <w:num w:numId="4" w16cid:durableId="1360936015">
    <w:abstractNumId w:val="38"/>
  </w:num>
  <w:num w:numId="5" w16cid:durableId="1502425239">
    <w:abstractNumId w:val="32"/>
  </w:num>
  <w:num w:numId="6" w16cid:durableId="429087055">
    <w:abstractNumId w:val="39"/>
  </w:num>
  <w:num w:numId="7" w16cid:durableId="518810824">
    <w:abstractNumId w:val="40"/>
  </w:num>
  <w:num w:numId="8" w16cid:durableId="2083486385">
    <w:abstractNumId w:val="44"/>
  </w:num>
  <w:num w:numId="9" w16cid:durableId="718633271">
    <w:abstractNumId w:val="13"/>
  </w:num>
  <w:num w:numId="10" w16cid:durableId="1338196562">
    <w:abstractNumId w:val="39"/>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16cid:durableId="1330713680">
    <w:abstractNumId w:val="34"/>
  </w:num>
  <w:num w:numId="12" w16cid:durableId="790632500">
    <w:abstractNumId w:val="29"/>
  </w:num>
  <w:num w:numId="13" w16cid:durableId="381639141">
    <w:abstractNumId w:val="11"/>
  </w:num>
  <w:num w:numId="14" w16cid:durableId="310791766">
    <w:abstractNumId w:val="22"/>
  </w:num>
  <w:num w:numId="15" w16cid:durableId="97990682">
    <w:abstractNumId w:val="8"/>
  </w:num>
  <w:num w:numId="16" w16cid:durableId="1434009068">
    <w:abstractNumId w:val="3"/>
  </w:num>
  <w:num w:numId="17" w16cid:durableId="2126581701">
    <w:abstractNumId w:val="4"/>
  </w:num>
  <w:num w:numId="18" w16cid:durableId="1058359275">
    <w:abstractNumId w:val="27"/>
  </w:num>
  <w:num w:numId="19" w16cid:durableId="809831955">
    <w:abstractNumId w:val="21"/>
  </w:num>
  <w:num w:numId="20" w16cid:durableId="287467501">
    <w:abstractNumId w:val="2"/>
  </w:num>
  <w:num w:numId="21" w16cid:durableId="903294063">
    <w:abstractNumId w:val="36"/>
  </w:num>
  <w:num w:numId="22" w16cid:durableId="102966689">
    <w:abstractNumId w:val="15"/>
  </w:num>
  <w:num w:numId="23" w16cid:durableId="1880237342">
    <w:abstractNumId w:val="14"/>
  </w:num>
  <w:num w:numId="24" w16cid:durableId="1290864000">
    <w:abstractNumId w:val="6"/>
  </w:num>
  <w:num w:numId="25" w16cid:durableId="337734741">
    <w:abstractNumId w:val="23"/>
  </w:num>
  <w:num w:numId="26" w16cid:durableId="1767144004">
    <w:abstractNumId w:val="20"/>
  </w:num>
  <w:num w:numId="27" w16cid:durableId="901327407">
    <w:abstractNumId w:val="47"/>
  </w:num>
  <w:num w:numId="28" w16cid:durableId="580480679">
    <w:abstractNumId w:val="19"/>
  </w:num>
  <w:num w:numId="29" w16cid:durableId="1745566045">
    <w:abstractNumId w:val="45"/>
  </w:num>
  <w:num w:numId="30" w16cid:durableId="965045262">
    <w:abstractNumId w:val="33"/>
  </w:num>
  <w:num w:numId="31" w16cid:durableId="2042824878">
    <w:abstractNumId w:val="41"/>
  </w:num>
  <w:num w:numId="32" w16cid:durableId="82651753">
    <w:abstractNumId w:val="37"/>
  </w:num>
  <w:num w:numId="33" w16cid:durableId="1840273645">
    <w:abstractNumId w:val="31"/>
  </w:num>
  <w:num w:numId="34" w16cid:durableId="427819473">
    <w:abstractNumId w:val="46"/>
  </w:num>
  <w:num w:numId="35" w16cid:durableId="1904177681">
    <w:abstractNumId w:val="26"/>
  </w:num>
  <w:num w:numId="36" w16cid:durableId="88696620">
    <w:abstractNumId w:val="17"/>
  </w:num>
  <w:num w:numId="37" w16cid:durableId="58021594">
    <w:abstractNumId w:val="18"/>
  </w:num>
  <w:num w:numId="38" w16cid:durableId="1567105885">
    <w:abstractNumId w:val="1"/>
  </w:num>
  <w:num w:numId="39" w16cid:durableId="79985131">
    <w:abstractNumId w:val="43"/>
  </w:num>
  <w:num w:numId="40" w16cid:durableId="327293896">
    <w:abstractNumId w:val="35"/>
  </w:num>
  <w:num w:numId="41" w16cid:durableId="1941137894">
    <w:abstractNumId w:val="30"/>
  </w:num>
  <w:num w:numId="42" w16cid:durableId="449588884">
    <w:abstractNumId w:val="12"/>
  </w:num>
  <w:num w:numId="43" w16cid:durableId="171140304">
    <w:abstractNumId w:val="7"/>
  </w:num>
  <w:num w:numId="44" w16cid:durableId="1518277278">
    <w:abstractNumId w:val="10"/>
  </w:num>
  <w:num w:numId="45" w16cid:durableId="1210727170">
    <w:abstractNumId w:val="28"/>
  </w:num>
  <w:num w:numId="46" w16cid:durableId="891622420">
    <w:abstractNumId w:val="5"/>
  </w:num>
  <w:num w:numId="47" w16cid:durableId="1851220166">
    <w:abstractNumId w:val="16"/>
  </w:num>
  <w:num w:numId="48" w16cid:durableId="240141822">
    <w:abstractNumId w:val="9"/>
  </w:num>
  <w:num w:numId="49" w16cid:durableId="1277370794">
    <w:abstractNumId w:val="24"/>
  </w:num>
  <w:num w:numId="50" w16cid:durableId="13860982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7349D"/>
    <w:rsid w:val="000777B8"/>
    <w:rsid w:val="00081AA8"/>
    <w:rsid w:val="000A3F30"/>
    <w:rsid w:val="000D2192"/>
    <w:rsid w:val="001002FD"/>
    <w:rsid w:val="00100E1C"/>
    <w:rsid w:val="00102F02"/>
    <w:rsid w:val="001062F2"/>
    <w:rsid w:val="001066EB"/>
    <w:rsid w:val="00131DF4"/>
    <w:rsid w:val="00144B16"/>
    <w:rsid w:val="00163B7D"/>
    <w:rsid w:val="001857B5"/>
    <w:rsid w:val="001C6E97"/>
    <w:rsid w:val="001D03E1"/>
    <w:rsid w:val="001D5DD3"/>
    <w:rsid w:val="001E2C4A"/>
    <w:rsid w:val="002079D8"/>
    <w:rsid w:val="0025358F"/>
    <w:rsid w:val="00284016"/>
    <w:rsid w:val="00290C68"/>
    <w:rsid w:val="00290D59"/>
    <w:rsid w:val="00293821"/>
    <w:rsid w:val="002B7317"/>
    <w:rsid w:val="002D53A8"/>
    <w:rsid w:val="002D612B"/>
    <w:rsid w:val="002F564A"/>
    <w:rsid w:val="00313B49"/>
    <w:rsid w:val="003278F4"/>
    <w:rsid w:val="0034617D"/>
    <w:rsid w:val="003556AC"/>
    <w:rsid w:val="00392E24"/>
    <w:rsid w:val="0039409E"/>
    <w:rsid w:val="00394BBC"/>
    <w:rsid w:val="003A7E48"/>
    <w:rsid w:val="003B11CD"/>
    <w:rsid w:val="003B12F5"/>
    <w:rsid w:val="003C7E34"/>
    <w:rsid w:val="003D14C0"/>
    <w:rsid w:val="003E3E41"/>
    <w:rsid w:val="003F0F3D"/>
    <w:rsid w:val="003F4715"/>
    <w:rsid w:val="003F773B"/>
    <w:rsid w:val="004074C4"/>
    <w:rsid w:val="00412D1F"/>
    <w:rsid w:val="00413211"/>
    <w:rsid w:val="004226CA"/>
    <w:rsid w:val="004315D1"/>
    <w:rsid w:val="004464AE"/>
    <w:rsid w:val="00457A8E"/>
    <w:rsid w:val="00481895"/>
    <w:rsid w:val="004C2B2E"/>
    <w:rsid w:val="004C66B8"/>
    <w:rsid w:val="004D2719"/>
    <w:rsid w:val="004D34B5"/>
    <w:rsid w:val="004E166A"/>
    <w:rsid w:val="004E2C8A"/>
    <w:rsid w:val="004E6264"/>
    <w:rsid w:val="004F604B"/>
    <w:rsid w:val="005145E3"/>
    <w:rsid w:val="0051485C"/>
    <w:rsid w:val="0051583E"/>
    <w:rsid w:val="00570A34"/>
    <w:rsid w:val="00573F4B"/>
    <w:rsid w:val="00582856"/>
    <w:rsid w:val="005878BD"/>
    <w:rsid w:val="00591D99"/>
    <w:rsid w:val="005D685A"/>
    <w:rsid w:val="005E1082"/>
    <w:rsid w:val="005E4206"/>
    <w:rsid w:val="00612201"/>
    <w:rsid w:val="00615047"/>
    <w:rsid w:val="0062329C"/>
    <w:rsid w:val="00625545"/>
    <w:rsid w:val="00650E8F"/>
    <w:rsid w:val="006543D8"/>
    <w:rsid w:val="00671662"/>
    <w:rsid w:val="006835E3"/>
    <w:rsid w:val="00695A2D"/>
    <w:rsid w:val="006A612F"/>
    <w:rsid w:val="006B163E"/>
    <w:rsid w:val="006B255B"/>
    <w:rsid w:val="006B435F"/>
    <w:rsid w:val="006D5687"/>
    <w:rsid w:val="006E1759"/>
    <w:rsid w:val="006F163D"/>
    <w:rsid w:val="00705AAD"/>
    <w:rsid w:val="00730C79"/>
    <w:rsid w:val="007436C5"/>
    <w:rsid w:val="00746551"/>
    <w:rsid w:val="00787FE4"/>
    <w:rsid w:val="007A44C5"/>
    <w:rsid w:val="007C1D39"/>
    <w:rsid w:val="00810613"/>
    <w:rsid w:val="00824F8F"/>
    <w:rsid w:val="0082610C"/>
    <w:rsid w:val="00835C5A"/>
    <w:rsid w:val="00845FDA"/>
    <w:rsid w:val="00861DA1"/>
    <w:rsid w:val="00874D75"/>
    <w:rsid w:val="0088214C"/>
    <w:rsid w:val="00887AA2"/>
    <w:rsid w:val="00887EAB"/>
    <w:rsid w:val="00896F6C"/>
    <w:rsid w:val="008B226D"/>
    <w:rsid w:val="008B7C46"/>
    <w:rsid w:val="008E7FDE"/>
    <w:rsid w:val="008F3269"/>
    <w:rsid w:val="0092704D"/>
    <w:rsid w:val="00927EF1"/>
    <w:rsid w:val="00942034"/>
    <w:rsid w:val="00961EBE"/>
    <w:rsid w:val="0096758C"/>
    <w:rsid w:val="009A0292"/>
    <w:rsid w:val="009B7F11"/>
    <w:rsid w:val="009C120A"/>
    <w:rsid w:val="009D6A1C"/>
    <w:rsid w:val="009E26C7"/>
    <w:rsid w:val="009E7078"/>
    <w:rsid w:val="009E7285"/>
    <w:rsid w:val="00A11609"/>
    <w:rsid w:val="00A62235"/>
    <w:rsid w:val="00A628DE"/>
    <w:rsid w:val="00A74371"/>
    <w:rsid w:val="00AD69AD"/>
    <w:rsid w:val="00AD7020"/>
    <w:rsid w:val="00AE3EC2"/>
    <w:rsid w:val="00AE5B4B"/>
    <w:rsid w:val="00AF7612"/>
    <w:rsid w:val="00B044D7"/>
    <w:rsid w:val="00B04E23"/>
    <w:rsid w:val="00B132A2"/>
    <w:rsid w:val="00B1379A"/>
    <w:rsid w:val="00B14B74"/>
    <w:rsid w:val="00B806A3"/>
    <w:rsid w:val="00B827B5"/>
    <w:rsid w:val="00B9124C"/>
    <w:rsid w:val="00B92500"/>
    <w:rsid w:val="00BA351F"/>
    <w:rsid w:val="00BB2AE4"/>
    <w:rsid w:val="00BB7642"/>
    <w:rsid w:val="00BD2A53"/>
    <w:rsid w:val="00C1421F"/>
    <w:rsid w:val="00C21EC8"/>
    <w:rsid w:val="00C405FF"/>
    <w:rsid w:val="00C44467"/>
    <w:rsid w:val="00C553F1"/>
    <w:rsid w:val="00C5633C"/>
    <w:rsid w:val="00C566F8"/>
    <w:rsid w:val="00C65625"/>
    <w:rsid w:val="00C90A91"/>
    <w:rsid w:val="00C976B6"/>
    <w:rsid w:val="00CA6405"/>
    <w:rsid w:val="00CE02EB"/>
    <w:rsid w:val="00CE344F"/>
    <w:rsid w:val="00D169D9"/>
    <w:rsid w:val="00D40F21"/>
    <w:rsid w:val="00D437A2"/>
    <w:rsid w:val="00D63459"/>
    <w:rsid w:val="00D91AD2"/>
    <w:rsid w:val="00DE1DFB"/>
    <w:rsid w:val="00DF1260"/>
    <w:rsid w:val="00E26915"/>
    <w:rsid w:val="00E64175"/>
    <w:rsid w:val="00E70132"/>
    <w:rsid w:val="00E7096A"/>
    <w:rsid w:val="00E718C8"/>
    <w:rsid w:val="00E81E14"/>
    <w:rsid w:val="00EA1C56"/>
    <w:rsid w:val="00EA749C"/>
    <w:rsid w:val="00ED7608"/>
    <w:rsid w:val="00EF1C7B"/>
    <w:rsid w:val="00F14DEA"/>
    <w:rsid w:val="00F259DF"/>
    <w:rsid w:val="00F30539"/>
    <w:rsid w:val="00F40E0F"/>
    <w:rsid w:val="00F5310B"/>
    <w:rsid w:val="00F563E5"/>
    <w:rsid w:val="00F652A9"/>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Strong">
    <w:name w:val="Strong"/>
    <w:basedOn w:val="DefaultParagraphFont"/>
    <w:uiPriority w:val="22"/>
    <w:qFormat/>
    <w:locked/>
    <w:rsid w:val="00FD327F"/>
    <w:rPr>
      <w:b/>
      <w:bCs/>
    </w:rPr>
  </w:style>
  <w:style w:type="character" w:styleId="Emphasis">
    <w:name w:val="Emphasis"/>
    <w:basedOn w:val="DefaultParagraphFont"/>
    <w:uiPriority w:val="20"/>
    <w:qFormat/>
    <w:locked/>
    <w:rsid w:val="00FD327F"/>
    <w:rPr>
      <w:i/>
      <w:iCs/>
    </w:rPr>
  </w:style>
  <w:style w:type="character" w:customStyle="1" w:styleId="markedcontent">
    <w:name w:val="markedcontent"/>
    <w:basedOn w:val="DefaultParagraphFont"/>
    <w:rsid w:val="00810613"/>
  </w:style>
  <w:style w:type="paragraph" w:styleId="NormalWeb">
    <w:name w:val="Normal (Web)"/>
    <w:basedOn w:val="Normal"/>
    <w:uiPriority w:val="99"/>
    <w:unhideWhenUsed/>
    <w:rsid w:val="002F56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427C3A-28E4-46A1-A445-BDEC87546BD2}">
  <ds:schemaRefs>
    <ds:schemaRef ds:uri="http://schemas.openxmlformats.org/officeDocument/2006/bibliography"/>
  </ds:schemaRefs>
</ds:datastoreItem>
</file>

<file path=customXml/itemProps4.xml><?xml version="1.0" encoding="utf-8"?>
<ds:datastoreItem xmlns:ds="http://schemas.openxmlformats.org/officeDocument/2006/customXml" ds:itemID="{CE1EF132-656C-42AA-9FDD-145A77816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5</cp:revision>
  <dcterms:created xsi:type="dcterms:W3CDTF">2023-02-01T18:34:00Z</dcterms:created>
  <dcterms:modified xsi:type="dcterms:W3CDTF">2023-02-16T13:24:00Z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