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A9" w:rsidRDefault="000A58A9" w:rsidP="004940D4">
      <w:pPr>
        <w:spacing w:after="200" w:line="276" w:lineRule="auto"/>
        <w:rPr>
          <w:rFonts w:ascii="Calibri" w:eastAsia="Calibri" w:hAnsi="Calibri" w:cs="Calibri"/>
          <w:kern w:val="0"/>
          <w:sz w:val="22"/>
          <w:szCs w:val="22"/>
          <w:lang w:eastAsia="el-GR"/>
        </w:rPr>
      </w:pPr>
      <w:r>
        <w:rPr>
          <w:rFonts w:ascii="Calibri" w:eastAsia="Calibri" w:hAnsi="Calibri" w:cs="Calibri"/>
          <w:noProof/>
          <w:kern w:val="0"/>
          <w:sz w:val="22"/>
          <w:szCs w:val="22"/>
          <w:lang w:val="en-US"/>
        </w:rPr>
        <w:drawing>
          <wp:inline distT="0" distB="0" distL="0" distR="0">
            <wp:extent cx="5876925" cy="3305771"/>
            <wp:effectExtent l="0" t="0" r="0" b="9525"/>
            <wp:docPr id="1086447178" name="Εικόνα 2" descr="Εικόνα που περιέχει κείμενο, δέντρο, φυτό, εξωτερικός χώρος/ύπαιθρ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447178" name="Εικόνα 2" descr="Εικόνα που περιέχει κείμενο, δέντρο, φυτό, εξωτερικός χώρος/ύπαιθρος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21" cy="33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28B" w:rsidRDefault="00A4228B" w:rsidP="00776EA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Ο όρος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αγροδασοπονία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χαρακτηρίζει τη χρήση γης όπου συνδυάζονται δέντρα και γεωργικές καλλιέργειες και βόσκηση, στην ίδια επιφάνεια. Α</w:t>
      </w:r>
      <w:r w:rsidR="0070543F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ποτελεί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ένα </w:t>
      </w:r>
      <w:r w:rsidR="0070543F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ιδιαίτερα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σημαντικό μέσο επίτευξης των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Σ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τόχων της Βιώσιμης Ανάπτυξης του ΟΗΕ. </w:t>
      </w:r>
      <w:r w:rsidR="0070543F">
        <w:rPr>
          <w:rFonts w:ascii="Times New Roman" w:eastAsia="Arial" w:hAnsi="Times New Roman" w:cs="Times New Roman"/>
          <w:color w:val="000000"/>
          <w:kern w:val="0"/>
          <w:lang w:eastAsia="el-GR"/>
        </w:rPr>
        <w:t>Τα τελευταία χρόνια έχει αυξηθεί το ενδιαφέρον παγκοσμίως για τη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διατήρηση και ενδυνάμωση των παραδοσιακών αγροδασικών συστημάτων </w:t>
      </w:r>
      <w:r w:rsidR="0070543F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καθώς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και </w:t>
      </w:r>
      <w:r w:rsidR="0070543F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την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εγκατάσταση νέων,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σε θέσεις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όπου οι περιβαλλοντικές και κοινωνικές συνθήκες είναι κατάλληλες.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Τα αγροδασικά συστήματα στην </w:t>
      </w:r>
      <w:r w:rsidR="00F7459B" w:rsidRPr="00F7459B">
        <w:rPr>
          <w:rFonts w:ascii="Times New Roman" w:eastAsia="Arial" w:hAnsi="Times New Roman" w:cs="Times New Roman"/>
          <w:color w:val="000000"/>
          <w:kern w:val="0"/>
          <w:lang w:eastAsia="el-GR"/>
        </w:rPr>
        <w:t>Ελλάδα καταλαμβάνουν πάνω από το ¼ της ηπειρωτικής και νησιωτικής επικράτειας,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</w:p>
    <w:p w:rsidR="00A4228B" w:rsidRPr="005E3BA2" w:rsidRDefault="00F7459B" w:rsidP="00776EA3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</w:pP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Το </w:t>
      </w:r>
      <w:hyperlink r:id="rId6" w:history="1">
        <w:r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Ελληνικό Αγροδασικό Δίκτυο</w:t>
        </w:r>
      </w:hyperlink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υποστηρίζ</w:t>
      </w:r>
      <w:r w:rsidR="0070543F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ει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τις αρχές που διέπουν </w:t>
      </w:r>
      <w:r w:rsidR="00A4228B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αυτήν 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την </w:t>
      </w:r>
      <w:proofErr w:type="spellStart"/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αειφορική</w:t>
      </w:r>
      <w:proofErr w:type="spellEnd"/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και πολλαπλή χρήση της γης</w:t>
      </w:r>
      <w:r w:rsidR="0070543F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ενώ συγχρόνως προωθεί δράσεις που θα στηρίξουν τους αγρότες μέσω άμεσων ενισχύσεων</w:t>
      </w:r>
      <w:r w:rsidR="00A4228B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,</w:t>
      </w:r>
      <w:r w:rsidR="0070543F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σύμφωνα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με τους στόχους και τις </w:t>
      </w:r>
      <w:r w:rsidR="00A4228B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σχετικές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στρατηγικές της ΕΕ, όπως </w:t>
      </w:r>
      <w:r w:rsidR="0070543F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είναι 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η </w:t>
      </w:r>
      <w:r w:rsidR="00A4228B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Σ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τρατηγική "</w:t>
      </w:r>
      <w:hyperlink r:id="rId7" w:history="1">
        <w:r w:rsidR="00A4228B"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Από</w:t>
        </w:r>
        <w:r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 xml:space="preserve"> </w:t>
        </w:r>
        <w:r w:rsidR="00A4228B"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το Αγρόκτημα στο Πιάτο</w:t>
        </w:r>
      </w:hyperlink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" και </w:t>
      </w:r>
      <w:r w:rsidR="0070543F"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>η</w:t>
      </w:r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 </w:t>
      </w:r>
      <w:hyperlink r:id="rId8" w:history="1">
        <w:r w:rsidR="0070543F"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Ε</w:t>
        </w:r>
        <w:r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 xml:space="preserve">υρωπαϊκή </w:t>
        </w:r>
        <w:r w:rsidR="0070543F"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Π</w:t>
        </w:r>
        <w:r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 xml:space="preserve">ράσινη </w:t>
        </w:r>
        <w:r w:rsidR="0070543F"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Σ</w:t>
        </w:r>
        <w:r w:rsidRPr="005E3BA2">
          <w:rPr>
            <w:rStyle w:val="-"/>
            <w:rFonts w:ascii="Times New Roman" w:eastAsia="Arial" w:hAnsi="Times New Roman" w:cs="Times New Roman"/>
            <w:i/>
            <w:iCs/>
            <w:kern w:val="0"/>
            <w:lang w:eastAsia="el-GR"/>
          </w:rPr>
          <w:t>υμφωνία</w:t>
        </w:r>
      </w:hyperlink>
      <w:r w:rsidRPr="005E3BA2">
        <w:rPr>
          <w:rFonts w:ascii="Times New Roman" w:eastAsia="Arial" w:hAnsi="Times New Roman" w:cs="Times New Roman"/>
          <w:i/>
          <w:iCs/>
          <w:color w:val="000000"/>
          <w:kern w:val="0"/>
          <w:lang w:eastAsia="el-GR"/>
        </w:rPr>
        <w:t xml:space="preserve">. </w:t>
      </w:r>
    </w:p>
    <w:p w:rsidR="00B461D0" w:rsidRDefault="005E3BA2" w:rsidP="00B461D0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Οι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αγροδασικές 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πρακτικές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θα πρέπει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να επιδεικνύουν μετρήσιμα αποτελέσματα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και να συνδέονται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με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οριζόντιες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δράσεις όπως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είναι αυτές που αφορούν τη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διατήρηση της 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βιοποικιλότητα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ς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,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την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υγεία και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τ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η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ν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αποδοτικότητα των εδαφών και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τις 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πολιτικές 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προσαρμογής και 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μετριασμού τ</w:t>
      </w:r>
      <w:r>
        <w:rPr>
          <w:rFonts w:ascii="Times New Roman" w:eastAsia="Arial" w:hAnsi="Times New Roman" w:cs="Times New Roman"/>
          <w:color w:val="000000"/>
          <w:kern w:val="0"/>
          <w:lang w:eastAsia="el-GR"/>
        </w:rPr>
        <w:t>ων επιπτώσεων της νέας κλιματικής πραγματικότητας στον γεωργοκτηνοτροφικό τομέα</w:t>
      </w: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.</w:t>
      </w:r>
      <w:r w:rsidRPr="00776EA3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Οι παραπάνω σύγχρονες προκλήσεις και απαιτήσεις έπλασαν την ιδέα διοργάνωσης ενός συν</w:t>
      </w:r>
      <w:r w:rsidR="0074783D">
        <w:rPr>
          <w:rFonts w:ascii="Times New Roman" w:eastAsia="Arial" w:hAnsi="Times New Roman" w:cs="Times New Roman"/>
          <w:color w:val="000000"/>
          <w:kern w:val="0"/>
          <w:lang w:eastAsia="el-GR"/>
        </w:rPr>
        <w:t>ε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δρ</w:t>
      </w:r>
      <w:r w:rsidR="0074783D">
        <w:rPr>
          <w:rFonts w:ascii="Times New Roman" w:eastAsia="Arial" w:hAnsi="Times New Roman" w:cs="Times New Roman"/>
          <w:color w:val="000000"/>
          <w:kern w:val="0"/>
          <w:lang w:eastAsia="el-GR"/>
        </w:rPr>
        <w:t>ί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ου αφιερωμένο σε όλους όσους εφαρμόζουν ή και θα ήθελαν να εφαρμόσουν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αγροδασικές πρακτικές αλλά και σε όλους </w:t>
      </w:r>
      <w:r w:rsidR="00376945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όσους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συνδράμουν ερευνητικά </w:t>
      </w:r>
      <w:r w:rsidR="0074783D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και εκπαιδευτικά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στη</w:t>
      </w:r>
      <w:r w:rsidR="0074783D">
        <w:rPr>
          <w:rFonts w:ascii="Times New Roman" w:eastAsia="Arial" w:hAnsi="Times New Roman" w:cs="Times New Roman"/>
          <w:color w:val="000000"/>
          <w:kern w:val="0"/>
          <w:lang w:eastAsia="el-GR"/>
        </w:rPr>
        <w:t>ν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αγροδασοπονία. 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Αυτό το συνέδριο, το 1</w:t>
      </w:r>
      <w:r w:rsidR="00B461D0" w:rsidRPr="00937323">
        <w:rPr>
          <w:rFonts w:ascii="Times New Roman" w:eastAsia="Arial" w:hAnsi="Times New Roman" w:cs="Times New Roman"/>
          <w:color w:val="000000"/>
          <w:kern w:val="0"/>
          <w:vertAlign w:val="superscript"/>
          <w:lang w:eastAsia="el-GR"/>
        </w:rPr>
        <w:t>ο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Πανελλήνιο Αγροδασικό Συνέδριο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θα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εξετάσει όλα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αυτά 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τα δεδομένα και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θ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α ορίσει κοινούς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εθνικούς 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στόχους σε 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τοπικό και περιφερειακό</w:t>
      </w:r>
      <w:r w:rsidR="00B461D0"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 επίπεδο</w:t>
      </w:r>
      <w:r w:rsidR="00B461D0">
        <w:rPr>
          <w:rFonts w:ascii="Times New Roman" w:eastAsia="Arial" w:hAnsi="Times New Roman" w:cs="Times New Roman"/>
          <w:color w:val="000000"/>
          <w:kern w:val="0"/>
          <w:lang w:eastAsia="el-GR"/>
        </w:rPr>
        <w:t>.</w:t>
      </w:r>
    </w:p>
    <w:p w:rsidR="00775C14" w:rsidRDefault="00B461D0" w:rsidP="0066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</w:pP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 xml:space="preserve">Στο πλαίσιο αυτό, σας προσκαλούμε να συμμετάσχετε στο </w:t>
      </w:r>
    </w:p>
    <w:p w:rsidR="00775C14" w:rsidRDefault="00B461D0" w:rsidP="0077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</w:pP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>1</w:t>
      </w: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vertAlign w:val="superscript"/>
          <w:lang w:eastAsia="el-GR"/>
        </w:rPr>
        <w:t>ο</w:t>
      </w: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 xml:space="preserve"> Πανελλήνιο Αγροδασικό Συνέδριο 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 xml:space="preserve">με τίτλο </w:t>
      </w:r>
    </w:p>
    <w:p w:rsidR="00775C14" w:rsidRDefault="00B461D0" w:rsidP="00775C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el-GR"/>
        </w:rPr>
      </w:pPr>
      <w:r>
        <w:rPr>
          <w:rFonts w:ascii="Times New Roman" w:eastAsia="Times New Roman" w:hAnsi="Times New Roman" w:cs="Times New Roman"/>
          <w:kern w:val="0"/>
          <w:lang w:eastAsia="el-GR"/>
        </w:rPr>
        <w:t>«</w:t>
      </w:r>
      <w:r w:rsidRPr="0070543F">
        <w:rPr>
          <w:rFonts w:ascii="Times New Roman" w:eastAsia="Times New Roman" w:hAnsi="Times New Roman" w:cs="Times New Roman"/>
          <w:b/>
          <w:i/>
          <w:kern w:val="0"/>
          <w:lang w:eastAsia="el-GR"/>
        </w:rPr>
        <w:t>Αγροδασοπονία: παρελθόν παρόν και μέλλον</w:t>
      </w:r>
      <w:r>
        <w:rPr>
          <w:rFonts w:ascii="Times New Roman" w:eastAsia="Times New Roman" w:hAnsi="Times New Roman" w:cs="Times New Roman"/>
          <w:kern w:val="0"/>
          <w:lang w:eastAsia="el-GR"/>
        </w:rPr>
        <w:t xml:space="preserve">» </w:t>
      </w:r>
    </w:p>
    <w:p w:rsidR="00775C14" w:rsidRDefault="00775C14" w:rsidP="00775C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el-GR"/>
        </w:rPr>
      </w:pPr>
    </w:p>
    <w:p w:rsidR="00B461D0" w:rsidRDefault="00B461D0" w:rsidP="0066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</w:pP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>στο Καρπενήσι</w:t>
      </w:r>
      <w:r w:rsidRPr="00376945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 xml:space="preserve">, </w:t>
      </w: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>από 17 έως 19 Οκτωβρίου 202</w:t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>4</w:t>
      </w:r>
      <w:r w:rsidRPr="00060730"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  <w:t>, στο Συνεδριακό Κέντρο Καρπενησίου.</w:t>
      </w:r>
    </w:p>
    <w:p w:rsidR="00F06AC5" w:rsidRPr="00060730" w:rsidRDefault="00F06AC5" w:rsidP="00660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lang w:eastAsia="el-GR"/>
        </w:rPr>
      </w:pPr>
    </w:p>
    <w:p w:rsidR="00B461D0" w:rsidRDefault="00376945" w:rsidP="004940D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lang w:eastAsia="el-GR"/>
        </w:rPr>
      </w:pPr>
      <w:r>
        <w:rPr>
          <w:rFonts w:ascii="Times New Roman" w:eastAsia="Times New Roman" w:hAnsi="Times New Roman" w:cs="Times New Roman"/>
          <w:kern w:val="0"/>
          <w:lang w:eastAsia="el-GR"/>
        </w:rPr>
        <w:t>Το συνέδριο έχει</w:t>
      </w:r>
      <w:r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ως στόχο να προσφέρει τη δυνατότητα σε αγρότες, επαγγελματίες του αγροτικού τομέα, συμβούλους, ερευνητές,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φοιτητές και επιστήμονες, καθώς και συνδικαλιστές, </w:t>
      </w:r>
      <w:proofErr w:type="spellStart"/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>αυτοδιοικητικούς</w:t>
      </w:r>
      <w:proofErr w:type="spellEnd"/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, αλλά και την πολιτική ηγεσία της χώρας, όπως και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lastRenderedPageBreak/>
        <w:t>συνεργατικά σχήματα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 και επιχειρήσεις του αγροτικού τομέα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 να  προσεγγίσουν τις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σύγχρονες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προκλήσεις, μέσα από τις διαχειριστικές πρακτικές της Αγροδασοπονίας,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που βρίσκονται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στην κατεύθυνση της βιώσιμης και </w:t>
      </w:r>
      <w:proofErr w:type="spellStart"/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>αειφορικής</w:t>
      </w:r>
      <w:proofErr w:type="spellEnd"/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 κυκλικής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αγροτικής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>οικονομίας τοπικής κλίμακας.</w:t>
      </w:r>
      <w:r w:rsidR="00B461D0" w:rsidRPr="004940D4">
        <w:rPr>
          <w:rFonts w:ascii="Calibri" w:eastAsia="Calibri" w:hAnsi="Calibri" w:cs="Calibri"/>
          <w:kern w:val="0"/>
          <w:sz w:val="22"/>
          <w:szCs w:val="22"/>
          <w:lang w:eastAsia="el-GR"/>
        </w:rPr>
        <w:t xml:space="preserve">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Αποσκοπεί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κυρίως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στην προώθηση της χρήσης δέντρων στις γεωργικές εκμεταλλεύσεις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>και τους βοσκοτόπους σε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 κάθε είδους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 αγροδασικά συστήματα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>σε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 </w:t>
      </w:r>
      <w:r w:rsidR="00B461D0" w:rsidRPr="005C5B2C">
        <w:rPr>
          <w:rFonts w:ascii="Times New Roman" w:eastAsia="Times New Roman" w:hAnsi="Times New Roman" w:cs="Times New Roman"/>
          <w:kern w:val="0"/>
          <w:lang w:eastAsia="el-GR"/>
        </w:rPr>
        <w:t xml:space="preserve">όλη τη χώρα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>με ιδιαίτερη έμφαση</w:t>
      </w:r>
      <w:r w:rsidR="00B461D0" w:rsidRPr="005C5B2C">
        <w:rPr>
          <w:rFonts w:ascii="Times New Roman" w:eastAsia="Times New Roman" w:hAnsi="Times New Roman" w:cs="Times New Roman"/>
          <w:kern w:val="0"/>
          <w:lang w:eastAsia="el-GR"/>
        </w:rPr>
        <w:t xml:space="preserve">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στις </w:t>
      </w:r>
      <w:r w:rsidR="00B461D0" w:rsidRPr="004940D4">
        <w:rPr>
          <w:rFonts w:ascii="Times New Roman" w:eastAsia="Times New Roman" w:hAnsi="Times New Roman" w:cs="Times New Roman"/>
          <w:kern w:val="0"/>
          <w:lang w:eastAsia="el-GR"/>
        </w:rPr>
        <w:t>περιβαλλοντι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κά ευαίσθητες περιοχές, όπως είναι οι ορεινές και νησιωτικές εκτάσεις της Ελλάδας όπου τα αγροδασικά τοπία κυριαρχούν. </w:t>
      </w:r>
    </w:p>
    <w:p w:rsidR="004940D4" w:rsidRDefault="004940D4" w:rsidP="004940D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kern w:val="0"/>
          <w:lang w:eastAsia="el-GR"/>
        </w:rPr>
      </w:pPr>
      <w:r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Το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 xml:space="preserve">συνέδριο </w:t>
      </w:r>
      <w:r w:rsidR="00775C14">
        <w:rPr>
          <w:rFonts w:ascii="Times New Roman" w:eastAsia="Times New Roman" w:hAnsi="Times New Roman" w:cs="Times New Roman"/>
          <w:kern w:val="0"/>
          <w:lang w:eastAsia="el-GR"/>
        </w:rPr>
        <w:t>υπο</w:t>
      </w:r>
      <w:r w:rsidR="00B461D0" w:rsidRPr="00B461D0">
        <w:rPr>
          <w:rFonts w:ascii="Times New Roman" w:eastAsia="Times New Roman" w:hAnsi="Times New Roman" w:cs="Times New Roman"/>
          <w:bCs/>
          <w:kern w:val="0"/>
          <w:lang w:eastAsia="el-GR"/>
        </w:rPr>
        <w:t>στηρίζεται</w:t>
      </w:r>
      <w:r w:rsidR="00B461D0">
        <w:rPr>
          <w:rFonts w:ascii="Times New Roman" w:eastAsia="Times New Roman" w:hAnsi="Times New Roman" w:cs="Times New Roman"/>
          <w:b/>
          <w:kern w:val="0"/>
          <w:lang w:eastAsia="el-GR"/>
        </w:rPr>
        <w:t xml:space="preserve"> </w:t>
      </w:r>
      <w:r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από τον </w:t>
      </w:r>
      <w:r w:rsidR="00B461D0">
        <w:rPr>
          <w:rFonts w:ascii="Times New Roman" w:eastAsia="Times New Roman" w:hAnsi="Times New Roman" w:cs="Times New Roman"/>
          <w:kern w:val="0"/>
          <w:lang w:eastAsia="el-GR"/>
        </w:rPr>
        <w:t>Δήμο Καρπενησίου</w:t>
      </w:r>
      <w:r w:rsidR="00775C14">
        <w:rPr>
          <w:rFonts w:ascii="Times New Roman" w:eastAsia="Times New Roman" w:hAnsi="Times New Roman" w:cs="Times New Roman"/>
          <w:kern w:val="0"/>
          <w:lang w:eastAsia="el-GR"/>
        </w:rPr>
        <w:t xml:space="preserve">, </w:t>
      </w:r>
      <w:r w:rsidR="005C5B2C">
        <w:rPr>
          <w:rFonts w:ascii="Times New Roman" w:eastAsia="Times New Roman" w:hAnsi="Times New Roman" w:cs="Times New Roman"/>
          <w:kern w:val="0"/>
          <w:lang w:eastAsia="el-GR"/>
        </w:rPr>
        <w:t>το Γεωπονικό Πανεπιστήμιο Αθηνών</w:t>
      </w:r>
      <w:r w:rsidR="00775C14">
        <w:rPr>
          <w:rFonts w:ascii="Times New Roman" w:eastAsia="Times New Roman" w:hAnsi="Times New Roman" w:cs="Times New Roman"/>
          <w:kern w:val="0"/>
          <w:lang w:eastAsia="el-GR"/>
        </w:rPr>
        <w:t xml:space="preserve"> -</w:t>
      </w:r>
      <w:r w:rsidR="005C5B2C">
        <w:rPr>
          <w:rFonts w:ascii="Times New Roman" w:eastAsia="Times New Roman" w:hAnsi="Times New Roman" w:cs="Times New Roman"/>
          <w:kern w:val="0"/>
          <w:lang w:eastAsia="el-GR"/>
        </w:rPr>
        <w:t xml:space="preserve"> </w:t>
      </w:r>
      <w:r w:rsidR="00034054" w:rsidRPr="00034054">
        <w:rPr>
          <w:rFonts w:ascii="Times New Roman" w:eastAsia="Times New Roman" w:hAnsi="Times New Roman" w:cs="Times New Roman"/>
          <w:kern w:val="0"/>
          <w:lang w:eastAsia="el-GR"/>
        </w:rPr>
        <w:t>Τμήμα Δασολογίας και Διαχείρισης Φυσικού Περιβάλλοντος</w:t>
      </w:r>
      <w:r w:rsidR="005C5B2C">
        <w:rPr>
          <w:rFonts w:ascii="Times New Roman" w:eastAsia="Times New Roman" w:hAnsi="Times New Roman" w:cs="Times New Roman"/>
          <w:kern w:val="0"/>
          <w:lang w:eastAsia="el-GR"/>
        </w:rPr>
        <w:t xml:space="preserve"> και</w:t>
      </w:r>
      <w:r w:rsidRPr="004940D4">
        <w:rPr>
          <w:rFonts w:ascii="Times New Roman" w:eastAsia="Times New Roman" w:hAnsi="Times New Roman" w:cs="Times New Roman"/>
          <w:kern w:val="0"/>
          <w:lang w:eastAsia="el-GR"/>
        </w:rPr>
        <w:t xml:space="preserve"> την Περιφερειακή Ενότητα </w:t>
      </w:r>
      <w:r w:rsidR="00775C14" w:rsidRPr="004940D4">
        <w:rPr>
          <w:rFonts w:ascii="Times New Roman" w:eastAsia="Times New Roman" w:hAnsi="Times New Roman" w:cs="Times New Roman"/>
          <w:kern w:val="0"/>
          <w:lang w:eastAsia="el-GR"/>
        </w:rPr>
        <w:t>Ε</w:t>
      </w:r>
      <w:r w:rsidR="00775C14">
        <w:rPr>
          <w:rFonts w:ascii="Times New Roman" w:eastAsia="Times New Roman" w:hAnsi="Times New Roman" w:cs="Times New Roman"/>
          <w:kern w:val="0"/>
          <w:lang w:eastAsia="el-GR"/>
        </w:rPr>
        <w:t>υρυτανίας</w:t>
      </w:r>
      <w:r w:rsidR="005C5B2C">
        <w:rPr>
          <w:rFonts w:ascii="Times New Roman" w:eastAsia="Times New Roman" w:hAnsi="Times New Roman" w:cs="Times New Roman"/>
          <w:kern w:val="0"/>
          <w:lang w:eastAsia="el-GR"/>
        </w:rPr>
        <w:t xml:space="preserve">. </w:t>
      </w:r>
    </w:p>
    <w:p w:rsidR="004940D4" w:rsidRPr="004940D4" w:rsidRDefault="00060730" w:rsidP="004940D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>
        <w:rPr>
          <w:rFonts w:ascii="Times New Roman" w:eastAsia="Arial" w:hAnsi="Times New Roman" w:cs="Times New Roman"/>
          <w:b/>
          <w:color w:val="000000"/>
          <w:kern w:val="0"/>
          <w:lang w:eastAsia="el-GR"/>
        </w:rPr>
        <w:t>Οι ε</w:t>
      </w:r>
      <w:r w:rsidR="004940D4" w:rsidRPr="004940D4">
        <w:rPr>
          <w:rFonts w:ascii="Times New Roman" w:eastAsia="Arial" w:hAnsi="Times New Roman" w:cs="Times New Roman"/>
          <w:b/>
          <w:color w:val="000000"/>
          <w:kern w:val="0"/>
          <w:lang w:eastAsia="el-GR"/>
        </w:rPr>
        <w:t xml:space="preserve">νότητες </w:t>
      </w:r>
      <w:r>
        <w:rPr>
          <w:rFonts w:ascii="Times New Roman" w:eastAsia="Arial" w:hAnsi="Times New Roman" w:cs="Times New Roman"/>
          <w:b/>
          <w:color w:val="000000"/>
          <w:kern w:val="0"/>
          <w:lang w:eastAsia="el-GR"/>
        </w:rPr>
        <w:t xml:space="preserve">του </w:t>
      </w:r>
      <w:r w:rsidR="004940D4" w:rsidRPr="004940D4">
        <w:rPr>
          <w:rFonts w:ascii="Times New Roman" w:eastAsia="Arial" w:hAnsi="Times New Roman" w:cs="Times New Roman"/>
          <w:b/>
          <w:color w:val="000000"/>
          <w:kern w:val="0"/>
          <w:lang w:eastAsia="el-GR"/>
        </w:rPr>
        <w:t>συνεδρίου</w:t>
      </w:r>
      <w:r>
        <w:rPr>
          <w:rFonts w:ascii="Times New Roman" w:eastAsia="Arial" w:hAnsi="Times New Roman" w:cs="Times New Roman"/>
          <w:b/>
          <w:color w:val="000000"/>
          <w:kern w:val="0"/>
          <w:lang w:eastAsia="el-GR"/>
        </w:rPr>
        <w:t xml:space="preserve"> θα είναι: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Αγροδασικά Συστήματα &amp; πρακτικές εφαρμογές (αγρότες και πράξη)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Αγροδασικά συστήματα και κλιματική κρίση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Αγροδασικό τοπίο και βιοποικιλότητα 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Αγροδασικά συστήματα και περιβαλλοντικές προκλήσεις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 xml:space="preserve">Σύγχρονες </w:t>
      </w:r>
      <w:proofErr w:type="spellStart"/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κοινωνικο</w:t>
      </w:r>
      <w:proofErr w:type="spellEnd"/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-οικονομικές προκλήσεις</w:t>
      </w:r>
    </w:p>
    <w:p w:rsidR="004940D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Εκπαίδευση και αγροδασοπονία</w:t>
      </w:r>
    </w:p>
    <w:p w:rsidR="00E733C4" w:rsidRPr="004940D4" w:rsidRDefault="004940D4" w:rsidP="004940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  <w:r w:rsidRPr="004940D4">
        <w:rPr>
          <w:rFonts w:ascii="Times New Roman" w:eastAsia="Arial" w:hAnsi="Times New Roman" w:cs="Times New Roman"/>
          <w:color w:val="000000"/>
          <w:kern w:val="0"/>
          <w:lang w:eastAsia="el-GR"/>
        </w:rPr>
        <w:t>Αγροδασοπονία: Εθνική και Ευρωπαϊκή πολιτική</w:t>
      </w:r>
    </w:p>
    <w:p w:rsidR="004940D4" w:rsidRPr="004940D4" w:rsidRDefault="004940D4" w:rsidP="004E1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kern w:val="0"/>
          <w:lang w:eastAsia="el-GR"/>
        </w:rPr>
      </w:pPr>
    </w:p>
    <w:p w:rsidR="004940D4" w:rsidRPr="004940D4" w:rsidRDefault="004940D4" w:rsidP="004940D4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Times New Roman" w:eastAsia="Arial" w:hAnsi="Times New Roman" w:cs="Times New Roman"/>
          <w:color w:val="000000"/>
          <w:kern w:val="0"/>
          <w:lang w:eastAsia="el-GR"/>
        </w:rPr>
      </w:pPr>
    </w:p>
    <w:p w:rsidR="004940D4" w:rsidRDefault="004940D4"/>
    <w:sectPr w:rsidR="004940D4" w:rsidSect="004E1F89">
      <w:pgSz w:w="11906" w:h="16838"/>
      <w:pgMar w:top="1135" w:right="155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5C00"/>
    <w:multiLevelType w:val="multilevel"/>
    <w:tmpl w:val="8084E8E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420" w:hanging="360"/>
      </w:pPr>
    </w:lvl>
    <w:lvl w:ilvl="5">
      <w:start w:val="1"/>
      <w:numFmt w:val="decimal"/>
      <w:lvlText w:val="%6."/>
      <w:lvlJc w:val="left"/>
      <w:pPr>
        <w:ind w:left="4140" w:hanging="36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decimal"/>
      <w:lvlText w:val="%8."/>
      <w:lvlJc w:val="left"/>
      <w:pPr>
        <w:ind w:left="5580" w:hanging="360"/>
      </w:pPr>
    </w:lvl>
    <w:lvl w:ilvl="8">
      <w:start w:val="1"/>
      <w:numFmt w:val="decimal"/>
      <w:lvlText w:val="%9."/>
      <w:lvlJc w:val="left"/>
      <w:pPr>
        <w:ind w:left="6300" w:hanging="360"/>
      </w:pPr>
    </w:lvl>
  </w:abstractNum>
  <w:abstractNum w:abstractNumId="1">
    <w:nsid w:val="632961EE"/>
    <w:multiLevelType w:val="multilevel"/>
    <w:tmpl w:val="36A4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3E343AF"/>
    <w:multiLevelType w:val="multilevel"/>
    <w:tmpl w:val="AAEA4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5331D20"/>
    <w:multiLevelType w:val="multilevel"/>
    <w:tmpl w:val="36A4B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0D4"/>
    <w:rsid w:val="00034054"/>
    <w:rsid w:val="00060730"/>
    <w:rsid w:val="000A58A9"/>
    <w:rsid w:val="00376945"/>
    <w:rsid w:val="00403AB0"/>
    <w:rsid w:val="004940D4"/>
    <w:rsid w:val="004E1F89"/>
    <w:rsid w:val="00523151"/>
    <w:rsid w:val="005C5B2C"/>
    <w:rsid w:val="005E3BA2"/>
    <w:rsid w:val="00653757"/>
    <w:rsid w:val="00660EFA"/>
    <w:rsid w:val="0070543F"/>
    <w:rsid w:val="0074783D"/>
    <w:rsid w:val="00775C14"/>
    <w:rsid w:val="00776EA3"/>
    <w:rsid w:val="008F6461"/>
    <w:rsid w:val="00937323"/>
    <w:rsid w:val="00940B24"/>
    <w:rsid w:val="00977FDD"/>
    <w:rsid w:val="00A4228B"/>
    <w:rsid w:val="00B461D0"/>
    <w:rsid w:val="00DC068C"/>
    <w:rsid w:val="00E37364"/>
    <w:rsid w:val="00E733C4"/>
    <w:rsid w:val="00F06AC5"/>
    <w:rsid w:val="00F336EE"/>
    <w:rsid w:val="00F7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8C"/>
  </w:style>
  <w:style w:type="paragraph" w:styleId="1">
    <w:name w:val="heading 1"/>
    <w:basedOn w:val="a"/>
    <w:next w:val="a"/>
    <w:link w:val="1Char"/>
    <w:uiPriority w:val="9"/>
    <w:qFormat/>
    <w:rsid w:val="00494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4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940D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94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940D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94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94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94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94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40D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4940D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4940D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940D4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940D4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940D4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4940D4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4940D4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4940D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494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94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494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494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494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4940D4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4940D4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4940D4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4940D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εισαγωγικό Char"/>
    <w:basedOn w:val="a0"/>
    <w:link w:val="a8"/>
    <w:uiPriority w:val="30"/>
    <w:rsid w:val="004940D4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4940D4"/>
    <w:rPr>
      <w:b/>
      <w:bCs/>
      <w:smallCaps/>
      <w:color w:val="0F4761" w:themeColor="accent1" w:themeShade="BF"/>
      <w:spacing w:val="5"/>
    </w:rPr>
  </w:style>
  <w:style w:type="paragraph" w:styleId="aa">
    <w:name w:val="annotation text"/>
    <w:basedOn w:val="a"/>
    <w:link w:val="Char3"/>
    <w:uiPriority w:val="99"/>
    <w:semiHidden/>
    <w:unhideWhenUsed/>
    <w:rsid w:val="00DC068C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DC068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DC068C"/>
    <w:rPr>
      <w:sz w:val="16"/>
      <w:szCs w:val="16"/>
    </w:rPr>
  </w:style>
  <w:style w:type="paragraph" w:styleId="ac">
    <w:name w:val="Balloon Text"/>
    <w:basedOn w:val="a"/>
    <w:link w:val="Char4"/>
    <w:uiPriority w:val="99"/>
    <w:semiHidden/>
    <w:unhideWhenUsed/>
    <w:rsid w:val="00653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653757"/>
    <w:rPr>
      <w:rFonts w:ascii="Segoe UI" w:hAnsi="Segoe UI" w:cs="Segoe UI"/>
      <w:sz w:val="18"/>
      <w:szCs w:val="18"/>
    </w:rPr>
  </w:style>
  <w:style w:type="paragraph" w:styleId="ad">
    <w:name w:val="annotation subject"/>
    <w:basedOn w:val="aa"/>
    <w:next w:val="aa"/>
    <w:link w:val="Char5"/>
    <w:uiPriority w:val="99"/>
    <w:semiHidden/>
    <w:unhideWhenUsed/>
    <w:rsid w:val="00776EA3"/>
    <w:rPr>
      <w:b/>
      <w:bCs/>
    </w:rPr>
  </w:style>
  <w:style w:type="character" w:customStyle="1" w:styleId="Char5">
    <w:name w:val="Θέμα σχολίου Char"/>
    <w:basedOn w:val="Char3"/>
    <w:link w:val="ad"/>
    <w:uiPriority w:val="99"/>
    <w:semiHidden/>
    <w:rsid w:val="00776EA3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76EA3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4228B"/>
    <w:rPr>
      <w:color w:val="467886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422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ssion.europa.eu/strategy-and-policy/priorities-2019-2024/european-green-deal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od.ec.europa.eu/horizontal-topics/farm-fork-strategy_en?prefLang=el&amp;etrans=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forestry.gr/pages/g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Mantzanas</dc:creator>
  <cp:lastModifiedBy>Windows User</cp:lastModifiedBy>
  <cp:revision>2</cp:revision>
  <dcterms:created xsi:type="dcterms:W3CDTF">2024-03-13T13:42:00Z</dcterms:created>
  <dcterms:modified xsi:type="dcterms:W3CDTF">2024-03-13T13:42:00Z</dcterms:modified>
</cp:coreProperties>
</file>