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1304" w14:textId="77777777"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4D2B4C48" w14:textId="77777777"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1135"/>
        <w:gridCol w:w="1297"/>
        <w:gridCol w:w="1208"/>
        <w:gridCol w:w="351"/>
        <w:gridCol w:w="1238"/>
      </w:tblGrid>
      <w:tr w:rsidR="006151C0" w:rsidRPr="00A23A16" w14:paraId="3DA3012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111A391B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360D7735" w14:textId="77777777" w:rsidR="006151C0" w:rsidRPr="00CC7544" w:rsidRDefault="00AA2391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 w:rsidRPr="00CC7544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14:paraId="333A6CB0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316FE0E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2C14C0EF" w14:textId="77777777" w:rsidR="006151C0" w:rsidRPr="00CC7544" w:rsidRDefault="006151C0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 w:rsidRPr="00CC7544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14:paraId="34D09665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36869F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14:paraId="37B4F966" w14:textId="77777777" w:rsidR="006151C0" w:rsidRPr="00CC7544" w:rsidRDefault="006151C0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  <w:proofErr w:type="spellStart"/>
            <w:r w:rsidRPr="00CC7544">
              <w:rPr>
                <w:rFonts w:eastAsia="Times New Roman" w:cstheme="minorHAnsi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6151C0" w:rsidRPr="00050B81" w14:paraId="2CAD85E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41268073" w14:textId="77777777"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D1A9ADC" w14:textId="17A12443" w:rsidR="006151C0" w:rsidRPr="001D341B" w:rsidRDefault="00EA2F3C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3715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00B3D706" w14:textId="77777777"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14:paraId="0E4CA047" w14:textId="22F58611" w:rsidR="006151C0" w:rsidRPr="006C74B6" w:rsidRDefault="00262AD6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  <w:r w:rsidR="00C61C48" w:rsidRPr="00C61C48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r w:rsidR="00C61C4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6151C0" w:rsidRPr="00A23A16" w14:paraId="66F70DB4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17F5F606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51EC07E0" w14:textId="55E1B444" w:rsidR="006151C0" w:rsidRPr="00AE3B3D" w:rsidRDefault="00AE3B3D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AE3B3D">
              <w:rPr>
                <w:rFonts w:ascii="Calibri" w:eastAsia="Times New Roman" w:hAnsi="Calibri" w:cs="Arial"/>
                <w:color w:val="1F497D" w:themeColor="text2"/>
                <w:sz w:val="20"/>
                <w:szCs w:val="20"/>
                <w:lang w:val="en-US"/>
              </w:rPr>
              <w:t>MARKETING OF AGRICULTURAL</w:t>
            </w:r>
            <w:r w:rsidR="00EC2D15">
              <w:rPr>
                <w:rFonts w:ascii="Calibri" w:eastAsia="Times New Roman" w:hAnsi="Calibri" w:cs="Arial"/>
                <w:color w:val="1F497D" w:themeColor="text2"/>
                <w:sz w:val="20"/>
                <w:szCs w:val="20"/>
                <w:lang w:val="en-US"/>
              </w:rPr>
              <w:t xml:space="preserve"> PRODUCTS</w:t>
            </w:r>
            <w:r w:rsidRPr="00AE3B3D">
              <w:rPr>
                <w:rFonts w:ascii="Calibri" w:eastAsia="Times New Roman" w:hAnsi="Calibri" w:cs="Arial"/>
                <w:color w:val="1F497D" w:themeColor="text2"/>
                <w:sz w:val="20"/>
                <w:szCs w:val="20"/>
                <w:lang w:val="en-US"/>
              </w:rPr>
              <w:t xml:space="preserve"> AND FOOD </w:t>
            </w:r>
          </w:p>
        </w:tc>
      </w:tr>
      <w:tr w:rsidR="006151C0" w:rsidRPr="00050B81" w14:paraId="770158E1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2ED59526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52C795B7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4DC76F30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14:paraId="69111906" w14:textId="77777777" w:rsidTr="00BF6D32">
        <w:trPr>
          <w:trHeight w:val="194"/>
        </w:trPr>
        <w:tc>
          <w:tcPr>
            <w:tcW w:w="5637" w:type="dxa"/>
            <w:gridSpan w:val="3"/>
          </w:tcPr>
          <w:p w14:paraId="09BBA4C8" w14:textId="77777777"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14:paraId="7EAD35A3" w14:textId="77777777" w:rsidR="006151C0" w:rsidRPr="00726337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14:paraId="55EFBC21" w14:textId="77777777"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14:paraId="766C84AD" w14:textId="77777777" w:rsidTr="00BF6D32">
        <w:trPr>
          <w:trHeight w:val="194"/>
        </w:trPr>
        <w:tc>
          <w:tcPr>
            <w:tcW w:w="5637" w:type="dxa"/>
            <w:gridSpan w:val="3"/>
          </w:tcPr>
          <w:p w14:paraId="4FF9EF9E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26A6494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6A155FD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14:paraId="44F4D14D" w14:textId="77777777" w:rsidTr="00BF6D32">
        <w:trPr>
          <w:trHeight w:val="194"/>
        </w:trPr>
        <w:tc>
          <w:tcPr>
            <w:tcW w:w="5637" w:type="dxa"/>
            <w:gridSpan w:val="3"/>
          </w:tcPr>
          <w:p w14:paraId="3C2AE2C6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4A9E92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DB21C4F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14:paraId="54FC8FE2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7F0E3F33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609B8BA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A485BF5" w14:textId="77777777"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14:paraId="4A0F847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7828AEAF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4BC26AC2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7C865FA0" w14:textId="77777777"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14:paraId="347EE549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5058E50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7D58032E" w14:textId="66B841F5" w:rsidR="006151C0" w:rsidRPr="009D3026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  <w:r w:rsidR="009D3026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  <w:r w:rsidR="009D3026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and English</w:t>
            </w:r>
          </w:p>
        </w:tc>
      </w:tr>
      <w:tr w:rsidR="006151C0" w:rsidRPr="00050B81" w14:paraId="3594C3D4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032EF8D1" w14:textId="77777777"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proofErr w:type="gramStart"/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</w:t>
            </w:r>
            <w:proofErr w:type="gramEnd"/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14:paraId="3C0C0E7E" w14:textId="7E344C59" w:rsidR="006151C0" w:rsidRPr="003D1287" w:rsidRDefault="00603609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YES</w:t>
            </w:r>
          </w:p>
        </w:tc>
      </w:tr>
      <w:tr w:rsidR="006C74B6" w:rsidRPr="00A23A16" w14:paraId="25D652CB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7297482" w14:textId="77777777"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7C67668E" w14:textId="4B365175" w:rsidR="006C74B6" w:rsidRPr="00050B81" w:rsidRDefault="00A23A16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6" w:history="1">
              <w:r w:rsidR="006D2FBA" w:rsidRPr="006D2FBA">
                <w:rPr>
                  <w:color w:val="0000FF"/>
                  <w:u w:val="single"/>
                  <w:lang w:val="en-GB"/>
                </w:rPr>
                <w:t>https://mediasrv.aua.gr/eclass/courses/COMCOUR118/</w:t>
              </w:r>
            </w:hyperlink>
          </w:p>
        </w:tc>
      </w:tr>
    </w:tbl>
    <w:p w14:paraId="2A32FD4E" w14:textId="77777777"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14:paraId="1E3A9A54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012C5EB9" w14:textId="77777777"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A23A16" w14:paraId="4898E464" w14:textId="77777777" w:rsidTr="00050B81">
        <w:tc>
          <w:tcPr>
            <w:tcW w:w="8472" w:type="dxa"/>
            <w:gridSpan w:val="2"/>
          </w:tcPr>
          <w:p w14:paraId="0BBD8899" w14:textId="09E3F866" w:rsidR="00865C88" w:rsidRPr="0089116D" w:rsidRDefault="00865C88" w:rsidP="00865C88">
            <w:pPr>
              <w:spacing w:after="0" w:line="240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This course is the main introductory course in the concepts of Marketing of Agricultural </w:t>
            </w:r>
            <w:r w:rsidR="00F66464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Products </w:t>
            </w: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and Food. It deals with issues of traditional Marketing of Agricultural </w:t>
            </w:r>
            <w:r w:rsidR="00F66464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Products </w:t>
            </w: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>and Food, but it takes into consideration the ways in which the process of Marketing of Agricultural</w:t>
            </w:r>
            <w:r w:rsidR="00F66464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 Products</w:t>
            </w: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 and </w:t>
            </w:r>
            <w:r w:rsidR="00F66464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>F</w:t>
            </w: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ood has changed the last decades. Furthermore, the course highlights the role of Marketing in the markets of agricultural </w:t>
            </w:r>
            <w:r w:rsidR="00F66464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products </w:t>
            </w:r>
            <w:r w:rsidRPr="0089116D">
              <w:rPr>
                <w:rFonts w:cs="Arial"/>
                <w:color w:val="1F497D" w:themeColor="text2"/>
                <w:sz w:val="20"/>
                <w:szCs w:val="20"/>
                <w:lang w:val="en-US"/>
              </w:rPr>
              <w:t xml:space="preserve">and food by presenting current trends and marketing applications in these markets. </w:t>
            </w:r>
            <w:r w:rsidRPr="0089116D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Upon successful completion of the course the student will be able to understand:</w:t>
            </w:r>
          </w:p>
          <w:p w14:paraId="012E1B32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the basic concepts of Agricultural Products and Food Marketing</w:t>
            </w:r>
          </w:p>
          <w:p w14:paraId="60D5F6D3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the process and levels of planning of Agricultural Products and Food Marketing</w:t>
            </w:r>
          </w:p>
          <w:p w14:paraId="0B6AD632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how Marketing Research is done</w:t>
            </w:r>
          </w:p>
          <w:p w14:paraId="1CA7FD6E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the importance of knowing consumer behavior</w:t>
            </w:r>
          </w:p>
          <w:p w14:paraId="73B22074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the definition of market segmentation criteria, ways of selecting the target market and product positioning in the mind of the consumer</w:t>
            </w:r>
          </w:p>
          <w:p w14:paraId="1393E486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what is a product, product classification, brand, and product packaging</w:t>
            </w:r>
          </w:p>
          <w:p w14:paraId="2BB2AF30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>• the concept of price, selling price, pricing strategies and tactics and external factors that affect the price</w:t>
            </w:r>
          </w:p>
          <w:p w14:paraId="00F79B5C" w14:textId="77777777" w:rsidR="00865C88" w:rsidRPr="0089116D" w:rsidRDefault="00865C88" w:rsidP="00865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</w:pPr>
            <w:r w:rsidRPr="0089116D">
              <w:rPr>
                <w:rFonts w:eastAsia="Times New Roman" w:cs="Courier New"/>
                <w:color w:val="1F497D" w:themeColor="text2"/>
                <w:sz w:val="20"/>
                <w:szCs w:val="20"/>
                <w:lang w:val="en"/>
              </w:rPr>
              <w:t xml:space="preserve">• </w:t>
            </w:r>
            <w:r w:rsidRPr="0089116D">
              <w:rPr>
                <w:color w:val="1F497D" w:themeColor="text2"/>
                <w:sz w:val="20"/>
                <w:szCs w:val="20"/>
                <w:lang w:val="en"/>
              </w:rPr>
              <w:t>how futures and options markets work</w:t>
            </w:r>
          </w:p>
          <w:p w14:paraId="360FC082" w14:textId="77777777" w:rsidR="00865C88" w:rsidRPr="0089116D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/>
                <w:color w:val="1F497D" w:themeColor="text2"/>
                <w:lang w:val="en"/>
              </w:rPr>
            </w:pPr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>• the purpose of the distribution system and the main market players, including wholesalers and retailers</w:t>
            </w:r>
          </w:p>
          <w:p w14:paraId="15591BE3" w14:textId="77777777" w:rsidR="00865C88" w:rsidRPr="0089116D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/>
                <w:color w:val="1F497D" w:themeColor="text2"/>
                <w:lang w:val="en"/>
              </w:rPr>
            </w:pPr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>• the marketing mix as a means of communication, the communication process and the elements of the promotion mix and how it is selected</w:t>
            </w:r>
          </w:p>
          <w:p w14:paraId="168F9E8C" w14:textId="77777777" w:rsidR="00865C88" w:rsidRPr="0089116D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/>
                <w:color w:val="1F497D" w:themeColor="text2"/>
                <w:lang w:val="en"/>
              </w:rPr>
            </w:pPr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>• the transformation of the Marketing strategy into a Marketing activity in the agricultural products and food business</w:t>
            </w:r>
          </w:p>
          <w:p w14:paraId="32A39506" w14:textId="1070FE4B" w:rsidR="009F2B58" w:rsidRPr="00E72E83" w:rsidRDefault="00865C88" w:rsidP="00E72E83">
            <w:pPr>
              <w:pStyle w:val="HTMLPreformatted"/>
              <w:shd w:val="clear" w:color="auto" w:fill="F8F9FA"/>
              <w:rPr>
                <w:rFonts w:asciiTheme="minorHAnsi" w:hAnsiTheme="minorHAnsi"/>
                <w:color w:val="1F497D" w:themeColor="text2"/>
                <w:lang w:val="en"/>
              </w:rPr>
            </w:pPr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 xml:space="preserve">• The process of </w:t>
            </w:r>
            <w:r w:rsidR="003D1287">
              <w:rPr>
                <w:rFonts w:asciiTheme="minorHAnsi" w:hAnsiTheme="minorHAnsi"/>
                <w:color w:val="1F497D" w:themeColor="text2"/>
              </w:rPr>
              <w:t xml:space="preserve">evaluating </w:t>
            </w:r>
            <w:r w:rsidRPr="0089116D">
              <w:rPr>
                <w:rFonts w:asciiTheme="minorHAnsi" w:hAnsiTheme="minorHAnsi"/>
                <w:color w:val="1F497D" w:themeColor="text2"/>
              </w:rPr>
              <w:t>the</w:t>
            </w:r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 xml:space="preserve"> Marketing results that arise in the </w:t>
            </w:r>
            <w:proofErr w:type="spellStart"/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>agri</w:t>
            </w:r>
            <w:proofErr w:type="spellEnd"/>
            <w:r w:rsidRPr="0089116D">
              <w:rPr>
                <w:rFonts w:asciiTheme="minorHAnsi" w:hAnsiTheme="minorHAnsi"/>
                <w:color w:val="1F497D" w:themeColor="text2"/>
                <w:lang w:val="en"/>
              </w:rPr>
              <w:t>-food business</w:t>
            </w:r>
          </w:p>
        </w:tc>
      </w:tr>
      <w:tr w:rsidR="00050B81" w:rsidRPr="00050B81" w14:paraId="121987E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C7EA8AC" w14:textId="77777777"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98621B" w:rsidRPr="00A23A16" w14:paraId="7D2C935A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73CA7F30" w14:textId="66057212" w:rsidR="0098621B" w:rsidRPr="00AE3B3D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</w:pPr>
            <w:r w:rsidRPr="00AE3B3D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AE3B3D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Decision-making</w:t>
            </w:r>
          </w:p>
          <w:p w14:paraId="3A7E5397" w14:textId="6D444A09" w:rsidR="0098621B" w:rsidRPr="00AE3B3D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</w:pPr>
            <w:r w:rsidRPr="00AE3B3D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AE3B3D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Individual/Independent work</w:t>
            </w:r>
          </w:p>
          <w:p w14:paraId="7FD3D8AE" w14:textId="6FD92D88" w:rsidR="0098621B" w:rsidRPr="0098621B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AE3B3D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r w:rsidRPr="00AE3B3D">
              <w:rPr>
                <w:rFonts w:eastAsia="Calibri"/>
                <w:color w:val="1F497D" w:themeColor="text2"/>
                <w:sz w:val="20"/>
                <w:szCs w:val="20"/>
                <w:lang w:val="en-US"/>
              </w:rPr>
              <w:t>Group/Team work</w:t>
            </w:r>
          </w:p>
        </w:tc>
      </w:tr>
    </w:tbl>
    <w:p w14:paraId="321DE58C" w14:textId="77777777"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A23A16" w14:paraId="79E5CB2A" w14:textId="77777777" w:rsidTr="00BF6D32">
        <w:tc>
          <w:tcPr>
            <w:tcW w:w="8472" w:type="dxa"/>
          </w:tcPr>
          <w:p w14:paraId="20F2E094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lastRenderedPageBreak/>
              <w:t xml:space="preserve">• </w:t>
            </w:r>
            <w:r w:rsidRPr="00F10299">
              <w:rPr>
                <w:rFonts w:eastAsia="Times New Roman" w:cstheme="minorHAnsi"/>
                <w:color w:val="1F497D" w:themeColor="text2"/>
                <w:lang w:val="en"/>
              </w:rPr>
              <w:t>Introduction to Agricultural Products and Food Marketing</w:t>
            </w:r>
          </w:p>
          <w:p w14:paraId="209E4870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 xml:space="preserve">• </w:t>
            </w:r>
            <w:r w:rsidRPr="00F10299">
              <w:rPr>
                <w:rFonts w:eastAsia="Times New Roman" w:cstheme="minorHAnsi"/>
                <w:color w:val="1F497D" w:themeColor="text2"/>
                <w:lang w:val="en"/>
              </w:rPr>
              <w:t>Analysis of Agricultural Products and Food Marketing planning</w:t>
            </w:r>
          </w:p>
          <w:p w14:paraId="734DACC7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 xml:space="preserve">• </w:t>
            </w:r>
            <w:r w:rsidRPr="00F10299">
              <w:rPr>
                <w:rFonts w:eastAsia="Times New Roman" w:cstheme="minorHAnsi"/>
                <w:color w:val="1F497D" w:themeColor="text2"/>
                <w:lang w:val="en"/>
              </w:rPr>
              <w:t>Marketing Research</w:t>
            </w:r>
          </w:p>
          <w:p w14:paraId="05EA4210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 xml:space="preserve">• </w:t>
            </w:r>
            <w:r w:rsidRPr="00F10299">
              <w:rPr>
                <w:rFonts w:eastAsia="Times New Roman" w:cstheme="minorHAnsi"/>
                <w:color w:val="1F497D" w:themeColor="text2"/>
                <w:lang w:val="en"/>
              </w:rPr>
              <w:t>Consumer buying behavior</w:t>
            </w:r>
          </w:p>
          <w:p w14:paraId="06F5055B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>• M</w:t>
            </w:r>
            <w:r w:rsidRPr="00F10299">
              <w:rPr>
                <w:rFonts w:eastAsia="Times New Roman" w:cstheme="minorHAnsi"/>
                <w:color w:val="1F497D" w:themeColor="text2"/>
                <w:lang w:val="en"/>
              </w:rPr>
              <w:t>arket segmentation and product positioning (placement)</w:t>
            </w:r>
          </w:p>
          <w:p w14:paraId="00DB279D" w14:textId="77777777" w:rsidR="00865C88" w:rsidRPr="00F10299" w:rsidRDefault="00865C88" w:rsidP="00865C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>• Product strategy</w:t>
            </w:r>
          </w:p>
          <w:p w14:paraId="728B644F" w14:textId="77777777" w:rsidR="00865C88" w:rsidRPr="00F10299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en"/>
              </w:rPr>
            </w:pPr>
            <w:r w:rsidRPr="00F10299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en"/>
              </w:rPr>
              <w:t>• Pricing strategy and pricing systems</w:t>
            </w:r>
          </w:p>
          <w:p w14:paraId="4283761A" w14:textId="77777777" w:rsidR="003142A8" w:rsidRDefault="00865C88" w:rsidP="003142A8">
            <w:pPr>
              <w:spacing w:before="60" w:after="60" w:line="288" w:lineRule="auto"/>
              <w:jc w:val="both"/>
              <w:rPr>
                <w:rFonts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>• Price management through futures and options markets</w:t>
            </w:r>
          </w:p>
          <w:p w14:paraId="168F6505" w14:textId="743C25CF" w:rsidR="00865C88" w:rsidRPr="00F10299" w:rsidRDefault="00865C88" w:rsidP="003142A8">
            <w:pPr>
              <w:spacing w:before="60" w:after="60" w:line="288" w:lineRule="auto"/>
              <w:jc w:val="both"/>
              <w:rPr>
                <w:rFonts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>• Distribution system strategy</w:t>
            </w:r>
          </w:p>
          <w:p w14:paraId="16233800" w14:textId="77777777" w:rsidR="00865C88" w:rsidRPr="00F10299" w:rsidRDefault="00865C88" w:rsidP="00865C88">
            <w:pPr>
              <w:spacing w:after="0" w:line="240" w:lineRule="auto"/>
              <w:jc w:val="both"/>
              <w:rPr>
                <w:rFonts w:cstheme="minorHAnsi"/>
                <w:color w:val="1F497D" w:themeColor="text2"/>
                <w:lang w:val="en"/>
              </w:rPr>
            </w:pPr>
            <w:r w:rsidRPr="00F10299">
              <w:rPr>
                <w:rFonts w:cstheme="minorHAnsi"/>
                <w:color w:val="1F497D" w:themeColor="text2"/>
                <w:lang w:val="en"/>
              </w:rPr>
              <w:t>• Communication and promotion strategy</w:t>
            </w:r>
          </w:p>
          <w:p w14:paraId="602820E7" w14:textId="77777777" w:rsidR="00865C88" w:rsidRPr="00F10299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en"/>
              </w:rPr>
            </w:pPr>
            <w:r w:rsidRPr="00F10299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• </w:t>
            </w:r>
            <w:r w:rsidRPr="00F10299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en"/>
              </w:rPr>
              <w:t>Implementation of Agricultural Products and Food Marketing program</w:t>
            </w:r>
          </w:p>
          <w:p w14:paraId="57F1FF8E" w14:textId="7E8B65B8" w:rsidR="00050B81" w:rsidRPr="00865C88" w:rsidRDefault="00865C88" w:rsidP="00865C88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10299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• </w:t>
            </w:r>
            <w:r w:rsidRPr="00F10299">
              <w:rPr>
                <w:rFonts w:asciiTheme="minorHAnsi" w:hAnsiTheme="minorHAnsi" w:cstheme="minorHAnsi"/>
                <w:color w:val="1F497D" w:themeColor="text2"/>
                <w:sz w:val="22"/>
                <w:szCs w:val="22"/>
                <w:lang w:val="en"/>
              </w:rPr>
              <w:t>Agricultural Products and Food Marketing Results</w:t>
            </w:r>
          </w:p>
        </w:tc>
      </w:tr>
    </w:tbl>
    <w:p w14:paraId="7FB00FA0" w14:textId="77777777" w:rsidR="006725FB" w:rsidRPr="00737BF3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737BF3">
        <w:rPr>
          <w:rFonts w:ascii="Calibri" w:eastAsia="Times New Roman" w:hAnsi="Calibri" w:cs="Arial"/>
          <w:b/>
          <w:color w:val="00000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14:paraId="67A01DC4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054799E" w14:textId="77777777"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63CA6C0D" w14:textId="77777777" w:rsidR="006725FB" w:rsidRPr="00C124F8" w:rsidRDefault="006725FB" w:rsidP="000931C2">
            <w:pPr>
              <w:rPr>
                <w:iCs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In class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6725FB" w:rsidRPr="00A23A16" w14:paraId="3DBC78B6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4A2C964" w14:textId="77777777"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414A4FE" w14:textId="77777777" w:rsidR="006725FB" w:rsidRPr="00C124F8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e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class platform</w:t>
            </w:r>
          </w:p>
          <w:p w14:paraId="570A8FCB" w14:textId="77777777" w:rsidR="006725FB" w:rsidRPr="00C124F8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Power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Point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slides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B3B51C3" w14:textId="32CDBDE7" w:rsidR="000C4C3C" w:rsidRPr="00C124F8" w:rsidRDefault="000C4C3C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Communication with students using e</w:t>
            </w:r>
            <w:r w:rsidR="00CC71E8"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class and email</w:t>
            </w:r>
          </w:p>
        </w:tc>
      </w:tr>
      <w:tr w:rsidR="006725FB" w:rsidRPr="00050B81" w14:paraId="1779492C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26FB3EA" w14:textId="77777777"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1255CAAA" w14:textId="77777777"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C124F8" w:rsidRPr="00C124F8" w14:paraId="1F321B18" w14:textId="7777777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14:paraId="004C8726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14:paraId="12E96771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Work</w:t>
                  </w:r>
                  <w:proofErr w:type="spellEnd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 xml:space="preserve"> </w:t>
                  </w: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C124F8" w:rsidRPr="00C124F8" w14:paraId="75313470" w14:textId="77777777" w:rsidTr="00BF6D32">
              <w:tc>
                <w:tcPr>
                  <w:tcW w:w="2467" w:type="dxa"/>
                </w:tcPr>
                <w:p w14:paraId="60461CAC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7CC6E44C" w14:textId="77777777" w:rsidR="006725FB" w:rsidRPr="00C124F8" w:rsidRDefault="00BC0029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60</w:t>
                  </w:r>
                </w:p>
              </w:tc>
            </w:tr>
            <w:tr w:rsidR="00C124F8" w:rsidRPr="00C124F8" w14:paraId="1C536D45" w14:textId="77777777" w:rsidTr="00050B81">
              <w:tc>
                <w:tcPr>
                  <w:tcW w:w="2467" w:type="dxa"/>
                  <w:shd w:val="clear" w:color="auto" w:fill="auto"/>
                </w:tcPr>
                <w:p w14:paraId="7BB59E33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14:paraId="018311ED" w14:textId="77777777" w:rsidR="006725FB" w:rsidRPr="00C124F8" w:rsidRDefault="00BC0029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  <w:lang w:val="el-GR"/>
                    </w:rPr>
                    <w:t>65</w:t>
                  </w:r>
                </w:p>
              </w:tc>
            </w:tr>
            <w:tr w:rsidR="00C124F8" w:rsidRPr="00C124F8" w14:paraId="53D79E2D" w14:textId="77777777" w:rsidTr="00050B81">
              <w:tc>
                <w:tcPr>
                  <w:tcW w:w="2467" w:type="dxa"/>
                  <w:shd w:val="clear" w:color="auto" w:fill="auto"/>
                </w:tcPr>
                <w:p w14:paraId="47939E13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0524121D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168CA7C3" w14:textId="77777777" w:rsidTr="00050B81">
              <w:tc>
                <w:tcPr>
                  <w:tcW w:w="2467" w:type="dxa"/>
                  <w:shd w:val="clear" w:color="auto" w:fill="auto"/>
                </w:tcPr>
                <w:p w14:paraId="11DC14AB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4311A250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4127EF60" w14:textId="77777777" w:rsidTr="00050B81">
              <w:tc>
                <w:tcPr>
                  <w:tcW w:w="2467" w:type="dxa"/>
                  <w:shd w:val="clear" w:color="auto" w:fill="auto"/>
                </w:tcPr>
                <w:p w14:paraId="2D0CAF5E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5AB08695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036B6BF7" w14:textId="77777777" w:rsidTr="00050B81">
              <w:tc>
                <w:tcPr>
                  <w:tcW w:w="2467" w:type="dxa"/>
                  <w:shd w:val="clear" w:color="auto" w:fill="auto"/>
                </w:tcPr>
                <w:p w14:paraId="34170945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72CB7C46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478DD55C" w14:textId="77777777" w:rsidTr="00050B81">
              <w:tc>
                <w:tcPr>
                  <w:tcW w:w="2467" w:type="dxa"/>
                  <w:shd w:val="clear" w:color="auto" w:fill="auto"/>
                </w:tcPr>
                <w:p w14:paraId="4B1990D0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2ED54A3D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5E9E1ECE" w14:textId="77777777" w:rsidTr="00050B81">
              <w:tc>
                <w:tcPr>
                  <w:tcW w:w="2467" w:type="dxa"/>
                  <w:shd w:val="clear" w:color="auto" w:fill="auto"/>
                </w:tcPr>
                <w:p w14:paraId="273F040A" w14:textId="77777777" w:rsidR="006725FB" w:rsidRPr="00C124F8" w:rsidRDefault="006725FB" w:rsidP="008343A9">
                  <w:pPr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378AB067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5E01A253" w14:textId="77777777" w:rsidTr="00907017">
              <w:tc>
                <w:tcPr>
                  <w:tcW w:w="2467" w:type="dxa"/>
                </w:tcPr>
                <w:p w14:paraId="7310B84C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Course total</w:t>
                  </w:r>
                </w:p>
                <w:p w14:paraId="637B384A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14:paraId="092B5251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  <w:t>125</w:t>
                  </w:r>
                </w:p>
              </w:tc>
            </w:tr>
          </w:tbl>
          <w:p w14:paraId="7FBD2D21" w14:textId="77777777" w:rsidR="006725FB" w:rsidRPr="00C124F8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color w:val="1F497D" w:themeColor="text2"/>
                <w:lang w:val="en-US"/>
              </w:rPr>
            </w:pPr>
          </w:p>
        </w:tc>
      </w:tr>
      <w:tr w:rsidR="0020684A" w:rsidRPr="006C74B6" w14:paraId="3BF31A5F" w14:textId="77777777" w:rsidTr="00BF6D32">
        <w:tc>
          <w:tcPr>
            <w:tcW w:w="3306" w:type="dxa"/>
          </w:tcPr>
          <w:p w14:paraId="22F8CBF7" w14:textId="77777777"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3DB5984D" w14:textId="77777777"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B44B1BC" w14:textId="77777777" w:rsidR="0020684A" w:rsidRPr="00C124F8" w:rsidRDefault="00BC0029" w:rsidP="00E65448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Written final exams (10</w:t>
            </w:r>
            <w:r w:rsidR="006725FB"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0%) including:</w:t>
            </w:r>
          </w:p>
          <w:p w14:paraId="2507EBF0" w14:textId="1F45A3D6" w:rsidR="0020684A" w:rsidRPr="00F66464" w:rsidRDefault="00BC0029" w:rsidP="00F66464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Multiple choice questions</w:t>
            </w:r>
          </w:p>
        </w:tc>
      </w:tr>
    </w:tbl>
    <w:p w14:paraId="78479396" w14:textId="77777777"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A23A16" w14:paraId="652EA1BF" w14:textId="77777777" w:rsidTr="00BF6D32">
        <w:tc>
          <w:tcPr>
            <w:tcW w:w="8472" w:type="dxa"/>
          </w:tcPr>
          <w:p w14:paraId="6CF5E2F7" w14:textId="5293756B" w:rsidR="008D4C8C" w:rsidRDefault="006725FB" w:rsidP="008D4C8C">
            <w:pPr>
              <w:spacing w:after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Suggested</w:t>
            </w:r>
            <w:r w:rsidR="008D4C8C" w:rsidRPr="00400300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  <w:p w14:paraId="29916DFC" w14:textId="607B89C0" w:rsidR="006E5AB9" w:rsidRDefault="00386373" w:rsidP="006D66E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</w:pPr>
            <w:proofErr w:type="spellStart"/>
            <w:r w:rsidRPr="006E5AB9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Perreault</w:t>
            </w:r>
            <w:proofErr w:type="spellEnd"/>
            <w:r w:rsidRPr="006E5AB9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W (2011) </w:t>
            </w:r>
            <w:r w:rsidR="00400300" w:rsidRPr="006E5AB9"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  <w:t>BASIC MARKETING: A Marketing Strategy Planning Approach</w:t>
            </w:r>
            <w:r w:rsidR="00494ACA"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  <w:t>,</w:t>
            </w:r>
            <w:r w:rsidR="00400300" w:rsidRPr="006E5AB9"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  <w:t> 9th Edition</w:t>
            </w:r>
            <w:r w:rsidR="00494ACA"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  <w:t>.</w:t>
            </w:r>
          </w:p>
          <w:p w14:paraId="49F905A8" w14:textId="508047A6" w:rsidR="00386373" w:rsidRPr="006E5AB9" w:rsidRDefault="00D52C6B" w:rsidP="006E5AB9">
            <w:pPr>
              <w:pStyle w:val="ListParagraph"/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color w:val="1F497D" w:themeColor="text2"/>
                <w:kern w:val="36"/>
                <w:sz w:val="20"/>
                <w:szCs w:val="20"/>
                <w:lang w:val="en-US"/>
              </w:rPr>
            </w:pPr>
            <w:r w:rsidRPr="006E5AB9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Publishers</w:t>
            </w:r>
            <w:r w:rsidR="00386373" w:rsidRPr="006E5AB9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: BROKEN HILL PUBLISHERS LTD</w:t>
            </w:r>
          </w:p>
          <w:p w14:paraId="715AC968" w14:textId="7E23CE19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635C5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Norwood B., </w:t>
            </w: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Lusk</w:t>
            </w:r>
            <w:r w:rsidRPr="00635C5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J</w:t>
            </w:r>
            <w:r w:rsidRPr="00635C5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. (2012) </w:t>
            </w:r>
            <w:r w:rsidR="00635C5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Agricultural Marketing and Price Analysis.</w:t>
            </w:r>
            <w:r w:rsidRPr="00635C5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Publishers</w:t>
            </w: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: BROKEN HILL PUBLISHERS LTD</w:t>
            </w:r>
          </w:p>
          <w:p w14:paraId="42ED90A5" w14:textId="3CA3AB2F" w:rsidR="00386373" w:rsidRPr="00D52C6B" w:rsidRDefault="007A3A64" w:rsidP="00386373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G</w:t>
            </w:r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Pertrof</w:t>
            </w:r>
            <w:proofErr w:type="spellEnd"/>
            <w:r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,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Κ</w:t>
            </w:r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. </w:t>
            </w:r>
            <w:r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and</w:t>
            </w:r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Α</w:t>
            </w:r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Tzo</w:t>
            </w:r>
            <w:r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rtzaki</w:t>
            </w:r>
            <w:proofErr w:type="spellEnd"/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(2002) </w:t>
            </w:r>
            <w:r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Marketing Management</w:t>
            </w:r>
            <w:r w:rsidR="00386373" w:rsidRPr="007A3A64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. </w:t>
            </w:r>
            <w:r w:rsid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Publishers</w:t>
            </w:r>
            <w:r w:rsidR="00386373" w:rsidRP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: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ROSILI</w:t>
            </w:r>
            <w:r w:rsidR="00386373" w:rsidRP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ΕΜΠΟΡΙΚΗ</w:t>
            </w:r>
            <w:r w:rsidR="00386373" w:rsidRP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-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ΕΚΔΟΤΙΚΗ</w:t>
            </w:r>
            <w:r w:rsidR="00386373" w:rsidRP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Μ</w:t>
            </w:r>
            <w:r w:rsidR="00386373" w:rsidRPr="00D52C6B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.</w:t>
            </w:r>
            <w:r w:rsidR="00386373" w:rsidRPr="00400300">
              <w:rPr>
                <w:rFonts w:cstheme="minorHAnsi"/>
                <w:color w:val="1F497D" w:themeColor="text2"/>
                <w:sz w:val="20"/>
                <w:szCs w:val="20"/>
              </w:rPr>
              <w:t>ΕΠΕ</w:t>
            </w:r>
          </w:p>
          <w:p w14:paraId="2517E765" w14:textId="6A3EFA5B" w:rsidR="008D4C8C" w:rsidRPr="00D52C6B" w:rsidRDefault="008D4C8C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 w:cstheme="minorHAnsi"/>
                <w:color w:val="1F497D" w:themeColor="text2"/>
                <w:sz w:val="20"/>
                <w:szCs w:val="20"/>
                <w:lang w:val="en-US"/>
              </w:rPr>
            </w:pPr>
          </w:p>
          <w:p w14:paraId="2114E62F" w14:textId="77777777" w:rsidR="008D4C8C" w:rsidRPr="00400300" w:rsidRDefault="006725FB" w:rsidP="00BC0029">
            <w:pPr>
              <w:spacing w:after="0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Scientific journals</w:t>
            </w:r>
            <w:r w:rsidR="008D4C8C"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:</w:t>
            </w:r>
          </w:p>
          <w:p w14:paraId="108000F5" w14:textId="77777777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Journal of International Food and Agribusiness Marketing </w:t>
            </w:r>
          </w:p>
          <w:p w14:paraId="19B1781F" w14:textId="77777777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  <w:t>European Review of Agricultural Economics</w:t>
            </w:r>
          </w:p>
          <w:p w14:paraId="4859EAD1" w14:textId="77777777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  <w:t>Journal of Agricultural Economics</w:t>
            </w:r>
          </w:p>
          <w:p w14:paraId="3C923E8D" w14:textId="77777777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rFonts w:cstheme="minorHAnsi"/>
                <w:iCs/>
                <w:color w:val="1F497D" w:themeColor="text2"/>
                <w:sz w:val="20"/>
                <w:szCs w:val="20"/>
                <w:lang w:val="en-US"/>
              </w:rPr>
              <w:t>American Journal of Agricultural Economics</w:t>
            </w:r>
          </w:p>
          <w:p w14:paraId="51766CE8" w14:textId="77777777" w:rsidR="00386373" w:rsidRPr="00400300" w:rsidRDefault="00386373" w:rsidP="003863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1F497D" w:themeColor="text2"/>
                <w:sz w:val="20"/>
                <w:szCs w:val="20"/>
                <w:lang w:val="en-US"/>
              </w:rPr>
            </w:pPr>
            <w:r w:rsidRPr="00400300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Agricultural Economics </w:t>
            </w:r>
          </w:p>
          <w:p w14:paraId="26FD7999" w14:textId="473CD746" w:rsidR="00BC0029" w:rsidRPr="00400300" w:rsidRDefault="00386373" w:rsidP="00386373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 w:rsidRPr="00400300">
              <w:rPr>
                <w:iCs/>
                <w:color w:val="1F497D" w:themeColor="text2"/>
                <w:sz w:val="20"/>
                <w:szCs w:val="20"/>
                <w:lang w:val="en-US"/>
              </w:rPr>
              <w:t>Australian Journal of Agricultural and Resource Economics</w:t>
            </w:r>
          </w:p>
        </w:tc>
      </w:tr>
    </w:tbl>
    <w:p w14:paraId="1A2FC187" w14:textId="77777777" w:rsidR="00B66EDB" w:rsidRPr="009F2B58" w:rsidRDefault="00B66EDB" w:rsidP="00F4575E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D073C"/>
    <w:multiLevelType w:val="hybridMultilevel"/>
    <w:tmpl w:val="645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1D9B"/>
    <w:multiLevelType w:val="hybridMultilevel"/>
    <w:tmpl w:val="05E0B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4"/>
  </w:num>
  <w:num w:numId="5">
    <w:abstractNumId w:val="14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12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62AD6"/>
    <w:rsid w:val="002743E3"/>
    <w:rsid w:val="00275CDB"/>
    <w:rsid w:val="00287A90"/>
    <w:rsid w:val="003142A8"/>
    <w:rsid w:val="003548B3"/>
    <w:rsid w:val="00386373"/>
    <w:rsid w:val="003966D9"/>
    <w:rsid w:val="003B45BC"/>
    <w:rsid w:val="003D1287"/>
    <w:rsid w:val="00400300"/>
    <w:rsid w:val="0040640F"/>
    <w:rsid w:val="00494ACA"/>
    <w:rsid w:val="004D4631"/>
    <w:rsid w:val="004E03E3"/>
    <w:rsid w:val="004F76BF"/>
    <w:rsid w:val="00505301"/>
    <w:rsid w:val="00512283"/>
    <w:rsid w:val="00570308"/>
    <w:rsid w:val="005B41BC"/>
    <w:rsid w:val="005E094A"/>
    <w:rsid w:val="00603609"/>
    <w:rsid w:val="00611AC3"/>
    <w:rsid w:val="00611AF9"/>
    <w:rsid w:val="006151C0"/>
    <w:rsid w:val="00635C50"/>
    <w:rsid w:val="006725FB"/>
    <w:rsid w:val="006C1EDF"/>
    <w:rsid w:val="006C4731"/>
    <w:rsid w:val="006C74B6"/>
    <w:rsid w:val="006D2FBA"/>
    <w:rsid w:val="006E5AB9"/>
    <w:rsid w:val="007144D5"/>
    <w:rsid w:val="00726337"/>
    <w:rsid w:val="00737BF3"/>
    <w:rsid w:val="007A3A64"/>
    <w:rsid w:val="008149C3"/>
    <w:rsid w:val="008343A9"/>
    <w:rsid w:val="00865C88"/>
    <w:rsid w:val="00881210"/>
    <w:rsid w:val="008D1BD9"/>
    <w:rsid w:val="008D4C8C"/>
    <w:rsid w:val="00906BD3"/>
    <w:rsid w:val="00907017"/>
    <w:rsid w:val="00974C95"/>
    <w:rsid w:val="0098621B"/>
    <w:rsid w:val="00996152"/>
    <w:rsid w:val="009C4213"/>
    <w:rsid w:val="009D0603"/>
    <w:rsid w:val="009D3026"/>
    <w:rsid w:val="009F2B58"/>
    <w:rsid w:val="00A23A16"/>
    <w:rsid w:val="00A33000"/>
    <w:rsid w:val="00A45BD0"/>
    <w:rsid w:val="00A82CE2"/>
    <w:rsid w:val="00AA2391"/>
    <w:rsid w:val="00AD5817"/>
    <w:rsid w:val="00AE3B3D"/>
    <w:rsid w:val="00B25922"/>
    <w:rsid w:val="00B425BF"/>
    <w:rsid w:val="00B66EDB"/>
    <w:rsid w:val="00BB5C14"/>
    <w:rsid w:val="00BC0029"/>
    <w:rsid w:val="00C124F8"/>
    <w:rsid w:val="00C61C48"/>
    <w:rsid w:val="00CC71E8"/>
    <w:rsid w:val="00CC7544"/>
    <w:rsid w:val="00D52C6B"/>
    <w:rsid w:val="00D94F8C"/>
    <w:rsid w:val="00DB2331"/>
    <w:rsid w:val="00DC6A5A"/>
    <w:rsid w:val="00E53803"/>
    <w:rsid w:val="00E72E83"/>
    <w:rsid w:val="00EA1E0D"/>
    <w:rsid w:val="00EA2F3C"/>
    <w:rsid w:val="00EB1E49"/>
    <w:rsid w:val="00EC2D15"/>
    <w:rsid w:val="00F10299"/>
    <w:rsid w:val="00F30B12"/>
    <w:rsid w:val="00F4575E"/>
    <w:rsid w:val="00F66464"/>
    <w:rsid w:val="00F840AB"/>
    <w:rsid w:val="00F91CA6"/>
    <w:rsid w:val="00FA4027"/>
    <w:rsid w:val="00FD75C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AA4C"/>
  <w15:docId w15:val="{916A7E9E-CA0F-455F-AE76-BC71FBD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paragraph" w:styleId="Heading1">
    <w:name w:val="heading 1"/>
    <w:basedOn w:val="Normal"/>
    <w:next w:val="Normal"/>
    <w:link w:val="Heading1Char"/>
    <w:uiPriority w:val="9"/>
    <w:qFormat/>
    <w:rsid w:val="00400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7544"/>
    <w:pPr>
      <w:keepNext/>
      <w:tabs>
        <w:tab w:val="left" w:pos="425"/>
      </w:tabs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C7544"/>
    <w:rPr>
      <w:rFonts w:ascii="Calibri" w:eastAsia="Times New Roman" w:hAnsi="Calibri" w:cs="Times New Roman"/>
      <w:b/>
      <w:bCs/>
      <w:sz w:val="24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5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5C8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0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COMCOUR1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B881-F798-4248-8878-A7DE85C2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2026-03-09T13:23:00Z</dcterms:created>
  <dcterms:modified xsi:type="dcterms:W3CDTF">2026-03-09T13:23:00Z</dcterms:modified>
</cp:coreProperties>
</file>