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30"/>
        <w:gridCol w:w="1280"/>
        <w:gridCol w:w="1207"/>
        <w:gridCol w:w="343"/>
        <w:gridCol w:w="1219"/>
      </w:tblGrid>
      <w:tr w:rsidR="006151C0" w:rsidRPr="002A2C0D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6151C0" w:rsidRPr="00050B81" w:rsidRDefault="00AA2391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6151C0" w:rsidRPr="00AA4608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Undergraduate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6151C0" w:rsidRPr="001D341B" w:rsidRDefault="000A6613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="00782BFD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3716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782BFD" w:rsidRPr="006C74B6" w:rsidRDefault="00782BFD" w:rsidP="002A2C0D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6</w:t>
            </w:r>
            <w:r w:rsidRPr="00782BFD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</w:p>
        </w:tc>
      </w:tr>
      <w:tr w:rsidR="006151C0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6151C0" w:rsidRPr="006151C0" w:rsidRDefault="00782BFD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POLITICAL ECONOMY OF THE AGRI-FOOD SECTOR</w:t>
            </w:r>
          </w:p>
        </w:tc>
      </w:tr>
      <w:tr w:rsidR="006151C0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:rsidTr="00BF6D32">
        <w:trPr>
          <w:trHeight w:val="194"/>
        </w:trPr>
        <w:tc>
          <w:tcPr>
            <w:tcW w:w="5637" w:type="dxa"/>
            <w:gridSpan w:val="3"/>
          </w:tcPr>
          <w:p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  <w:r w:rsidR="00782BFD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and Assignments</w:t>
            </w:r>
          </w:p>
        </w:tc>
        <w:tc>
          <w:tcPr>
            <w:tcW w:w="1559" w:type="dxa"/>
            <w:gridSpan w:val="2"/>
          </w:tcPr>
          <w:p w:rsidR="006151C0" w:rsidRPr="00726337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6151C0" w:rsidRPr="00515A4B" w:rsidRDefault="006C77DD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Yes (in English)</w:t>
            </w:r>
          </w:p>
        </w:tc>
      </w:tr>
      <w:tr w:rsidR="006C74B6" w:rsidRPr="002A2C0D" w:rsidTr="001A3F9B">
        <w:tc>
          <w:tcPr>
            <w:tcW w:w="3205" w:type="dxa"/>
            <w:shd w:val="clear" w:color="auto" w:fill="DDD9C3" w:themeFill="background2" w:themeFillShade="E6"/>
          </w:tcPr>
          <w:p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6C74B6" w:rsidRPr="00050B81" w:rsidRDefault="00782BFD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r w:rsidRPr="00782BFD"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  <w:t>https://mediasrv.aua.gr/eclass/courses/AOA238/</w:t>
            </w:r>
          </w:p>
        </w:tc>
      </w:tr>
    </w:tbl>
    <w:p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1A3F9B" w:rsidRPr="006C77DD" w:rsidTr="00050B81">
        <w:tc>
          <w:tcPr>
            <w:tcW w:w="8472" w:type="dxa"/>
            <w:gridSpan w:val="2"/>
          </w:tcPr>
          <w:p w:rsidR="00782BFD" w:rsidRDefault="00782BFD" w:rsidP="000A6613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Through the adoption of a "pluralistic" approach and critique of the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mainstream economic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theory, this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course aims to:</w:t>
            </w:r>
          </w:p>
          <w:p w:rsidR="00782BFD" w:rsidRPr="00782BFD" w:rsidRDefault="00782BFD" w:rsidP="00782BFD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acquaint students with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core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thematic areas of economic theory</w:t>
            </w:r>
          </w:p>
          <w:p w:rsidR="00782BFD" w:rsidRDefault="00782BFD" w:rsidP="00782BFD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>analys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e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 xml:space="preserve">both 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national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and international agri-food system.</w:t>
            </w:r>
          </w:p>
          <w:p w:rsidR="00782BFD" w:rsidRDefault="00782BFD" w:rsidP="00782B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br/>
              <w:t>Upon successful completion of the course the student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s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will be able to:</w:t>
            </w:r>
          </w:p>
          <w:p w:rsidR="00782BFD" w:rsidRDefault="00782BFD" w:rsidP="00782B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  <w:p w:rsidR="00782BFD" w:rsidRPr="00782BFD" w:rsidRDefault="00782BFD" w:rsidP="00782BFD">
            <w:pPr>
              <w:pStyle w:val="ListParagraph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Understand critical concepts of economics and the operation of the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economic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system, while acquiring a critical thinking ability</w:t>
            </w:r>
          </w:p>
          <w:p w:rsidR="00782BFD" w:rsidRPr="00782BFD" w:rsidRDefault="002655C4" w:rsidP="00782BFD">
            <w:pPr>
              <w:pStyle w:val="ListParagraph"/>
              <w:numPr>
                <w:ilvl w:val="0"/>
                <w:numId w:val="21"/>
              </w:numPr>
              <w:tabs>
                <w:tab w:val="left" w:pos="280"/>
                <w:tab w:val="left" w:pos="426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Recognize the main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differences between Political Economy and the</w:t>
            </w:r>
            <w:r w:rsidR="00782BFD"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mainstream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economic theory</w:t>
            </w:r>
          </w:p>
          <w:p w:rsidR="00782BFD" w:rsidRPr="00782BFD" w:rsidRDefault="00782BFD" w:rsidP="00782BFD">
            <w:pPr>
              <w:pStyle w:val="ListParagraph"/>
              <w:numPr>
                <w:ilvl w:val="0"/>
                <w:numId w:val="21"/>
              </w:numPr>
              <w:tabs>
                <w:tab w:val="left" w:pos="280"/>
                <w:tab w:val="left" w:pos="426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>Understand and analyze central functions of the agri-food system and the roles of the farm / farm household within it</w:t>
            </w:r>
          </w:p>
          <w:p w:rsidR="000A6613" w:rsidRPr="00782BFD" w:rsidRDefault="00782BFD" w:rsidP="000A6613">
            <w:pPr>
              <w:pStyle w:val="ListParagraph"/>
              <w:numPr>
                <w:ilvl w:val="0"/>
                <w:numId w:val="21"/>
              </w:numPr>
              <w:tabs>
                <w:tab w:val="left" w:pos="280"/>
                <w:tab w:val="left" w:pos="426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To supplement the knowledge </w:t>
            </w:r>
            <w:r>
              <w:rPr>
                <w:rFonts w:ascii="Arial" w:eastAsia="Arial" w:hAnsi="Arial" w:cs="Arial"/>
                <w:color w:val="002060"/>
                <w:sz w:val="20"/>
                <w:szCs w:val="20"/>
                <w:lang w:val="en-US"/>
              </w:rPr>
              <w:t>they have</w:t>
            </w:r>
            <w:r w:rsidRPr="00782BFD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acquired from several other courses of the Department, through the perspective of Political Economy</w:t>
            </w:r>
          </w:p>
          <w:p w:rsidR="000A6613" w:rsidRPr="00782BFD" w:rsidRDefault="000A6613" w:rsidP="000A6613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050B81" w:rsidRPr="002A2C0D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050B81" w:rsidRDefault="00050B81" w:rsidP="000A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  <w:p w:rsidR="002655C4" w:rsidRDefault="002655C4" w:rsidP="002655C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Autonomous work</w:t>
            </w:r>
          </w:p>
          <w:p w:rsidR="002655C4" w:rsidRDefault="00426E16" w:rsidP="002655C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Team</w:t>
            </w:r>
            <w:r w:rsidR="002655C4">
              <w:rPr>
                <w:rFonts w:ascii="Calibri" w:eastAsia="Calibri" w:hAnsi="Calibri" w:cs="Times New Roman"/>
                <w:color w:val="002060"/>
                <w:lang w:val="en-US"/>
              </w:rPr>
              <w:t>work</w:t>
            </w:r>
          </w:p>
          <w:p w:rsidR="002655C4" w:rsidRDefault="002655C4" w:rsidP="002655C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Decision making</w:t>
            </w:r>
          </w:p>
          <w:p w:rsidR="002655C4" w:rsidRPr="00275CDB" w:rsidRDefault="002655C4" w:rsidP="002655C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Critique and self-critique</w:t>
            </w:r>
          </w:p>
          <w:p w:rsidR="000A6613" w:rsidRPr="002655C4" w:rsidRDefault="002655C4" w:rsidP="000A661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655C4">
              <w:rPr>
                <w:rFonts w:ascii="Calibri" w:eastAsia="Calibri" w:hAnsi="Calibri" w:cs="Times New Roman"/>
                <w:color w:val="002060"/>
                <w:lang w:val="en-US"/>
              </w:rPr>
              <w:t>Advance of free thinking and reasoning</w:t>
            </w:r>
          </w:p>
          <w:p w:rsidR="000A6613" w:rsidRPr="000A6613" w:rsidRDefault="000A6613" w:rsidP="000A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</w:tc>
      </w:tr>
    </w:tbl>
    <w:p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251FD2" w:rsidTr="00BF6D32">
        <w:tc>
          <w:tcPr>
            <w:tcW w:w="8472" w:type="dxa"/>
          </w:tcPr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The course includes the following topics: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1. Economic science and modern capitalism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lastRenderedPageBreak/>
              <w:t>2. The different ‘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paradigms’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in economics - The methodology of Neoclassical Theory and Political Economy.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3. ‘Post-Keynesian’ Theory: Consumer behavior, demand.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4. ‘Post-Keynesian’ Theory: Production costs and theory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of the firm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5. Critique of the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Welfare 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Economics.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6. Systems Theory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7. The composite entity farm / farm household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8. The global agri-food system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9.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Agri-Food 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Value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hains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10. The political economy of agriculture and the agri-food system.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11. The structure, characteristics and functions of the actual agri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cultural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and food </w:t>
            </w: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markets. Real financial markets and their relationship to agricultural markets - the recent food crises. Self-regulation in the agricultural and financial markets?</w:t>
            </w:r>
          </w:p>
          <w:p w:rsidR="002655C4" w:rsidRPr="002655C4" w:rsidRDefault="002655C4" w:rsidP="002655C4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</w:p>
          <w:p w:rsidR="000A6613" w:rsidRPr="002655C4" w:rsidRDefault="002655C4" w:rsidP="000A6613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2655C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The course is also enriched with a critical presentation and discussion of examples and recent research results from agriculture, rural areas, food and the environment.</w:t>
            </w:r>
          </w:p>
        </w:tc>
      </w:tr>
    </w:tbl>
    <w:p w:rsidR="006725FB" w:rsidRPr="006725FB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725FB">
        <w:rPr>
          <w:rFonts w:ascii="Calibri" w:eastAsia="Times New Roman" w:hAnsi="Calibri" w:cs="Arial"/>
          <w:b/>
          <w:color w:val="000000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6725FB" w:rsidRDefault="006725FB" w:rsidP="002655C4">
            <w:pPr>
              <w:pStyle w:val="ListParagraph"/>
              <w:numPr>
                <w:ilvl w:val="0"/>
                <w:numId w:val="22"/>
              </w:numPr>
              <w:rPr>
                <w:iCs/>
                <w:color w:val="002060"/>
              </w:rPr>
            </w:pPr>
            <w:r w:rsidRPr="002655C4">
              <w:rPr>
                <w:iCs/>
                <w:color w:val="002060"/>
                <w:lang w:val="en-US"/>
              </w:rPr>
              <w:t>In class</w:t>
            </w:r>
            <w:r w:rsidRPr="002655C4">
              <w:rPr>
                <w:iCs/>
                <w:color w:val="002060"/>
              </w:rPr>
              <w:t xml:space="preserve"> </w:t>
            </w:r>
          </w:p>
          <w:p w:rsidR="002655C4" w:rsidRPr="002655C4" w:rsidRDefault="002655C4" w:rsidP="002655C4">
            <w:pPr>
              <w:pStyle w:val="ListParagraph"/>
              <w:numPr>
                <w:ilvl w:val="0"/>
                <w:numId w:val="22"/>
              </w:num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Project Assignment to students</w:t>
            </w:r>
          </w:p>
        </w:tc>
      </w:tr>
      <w:tr w:rsidR="006725FB" w:rsidRPr="002A2C0D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725FB" w:rsidRPr="006725F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002060"/>
              </w:rPr>
            </w:pPr>
            <w:r w:rsidRPr="006725FB">
              <w:rPr>
                <w:iCs/>
                <w:color w:val="002060"/>
                <w:lang w:val="en-US"/>
              </w:rPr>
              <w:t>e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class platform</w:t>
            </w:r>
          </w:p>
          <w:p w:rsidR="006725FB" w:rsidRPr="000C4C3C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6725FB">
              <w:rPr>
                <w:iCs/>
                <w:color w:val="002060"/>
                <w:lang w:val="en-US"/>
              </w:rPr>
              <w:t>Power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Point</w:t>
            </w:r>
            <w:r w:rsidRPr="006725FB">
              <w:rPr>
                <w:iCs/>
                <w:color w:val="002060"/>
              </w:rPr>
              <w:t xml:space="preserve"> </w:t>
            </w:r>
            <w:r w:rsidRPr="006725FB">
              <w:rPr>
                <w:iCs/>
                <w:color w:val="002060"/>
                <w:lang w:val="en-US"/>
              </w:rPr>
              <w:t>slides</w:t>
            </w:r>
            <w:r w:rsidRPr="006725FB">
              <w:rPr>
                <w:iCs/>
                <w:color w:val="002060"/>
              </w:rPr>
              <w:t xml:space="preserve"> </w:t>
            </w:r>
          </w:p>
          <w:p w:rsidR="000C4C3C" w:rsidRPr="002A2C0D" w:rsidRDefault="000C4C3C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iCs/>
                <w:color w:val="002060"/>
                <w:lang w:val="en-US"/>
              </w:rPr>
              <w:t>Communication with students using eclass and email</w:t>
            </w:r>
          </w:p>
        </w:tc>
      </w:tr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6725FB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Work Load</w:t>
                  </w:r>
                </w:p>
              </w:tc>
            </w:tr>
            <w:tr w:rsidR="006725FB" w:rsidRPr="00050B81" w:rsidTr="00BF6D32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6725FB" w:rsidRPr="00F840AB" w:rsidRDefault="002655C4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6</w:t>
                  </w:r>
                  <w:r w:rsidR="00BC0029">
                    <w:rPr>
                      <w:rFonts w:ascii="Calibri" w:hAnsi="Calibri" w:cs="Arial"/>
                      <w:color w:val="002060"/>
                    </w:rPr>
                    <w:t>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2655C4" w:rsidRDefault="002655C4" w:rsidP="002655C4">
                  <w:pPr>
                    <w:rPr>
                      <w:rFonts w:ascii="Calibri" w:hAnsi="Calibri" w:cs="Arial"/>
                      <w:color w:val="002060"/>
                    </w:rPr>
                  </w:pPr>
                  <w:r w:rsidRPr="002655C4">
                    <w:rPr>
                      <w:rFonts w:ascii="Calibri" w:hAnsi="Calibri" w:cs="Arial"/>
                      <w:color w:val="002060"/>
                    </w:rPr>
                    <w:t>Project Assignment to students</w:t>
                  </w:r>
                </w:p>
              </w:tc>
              <w:tc>
                <w:tcPr>
                  <w:tcW w:w="2468" w:type="dxa"/>
                </w:tcPr>
                <w:p w:rsidR="006725FB" w:rsidRPr="002655C4" w:rsidRDefault="002655C4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40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2655C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:rsidR="006725FB" w:rsidRPr="003B45BC" w:rsidRDefault="002655C4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25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907017">
              <w:tc>
                <w:tcPr>
                  <w:tcW w:w="2467" w:type="dxa"/>
                </w:tcPr>
                <w:p w:rsidR="006725FB" w:rsidRPr="002A2C0D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2A2C0D">
                    <w:rPr>
                      <w:rFonts w:ascii="Calibri" w:hAnsi="Calibri" w:cs="Arial"/>
                      <w:b/>
                      <w:i/>
                      <w:color w:val="002060"/>
                    </w:rPr>
                    <w:t>Course total</w:t>
                  </w:r>
                </w:p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6725FB" w:rsidRPr="00050B81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6C74B6" w:rsidTr="00BF6D32">
        <w:tc>
          <w:tcPr>
            <w:tcW w:w="3306" w:type="dxa"/>
          </w:tcPr>
          <w:p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655C4" w:rsidRPr="00426E16" w:rsidRDefault="00BC0029" w:rsidP="009762F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color w:val="002060"/>
                <w:lang w:val="en-US"/>
              </w:rPr>
            </w:pPr>
            <w:r w:rsidRPr="00426E16">
              <w:rPr>
                <w:iCs/>
                <w:color w:val="002060"/>
                <w:lang w:val="en-US"/>
              </w:rPr>
              <w:t xml:space="preserve">Written exams </w:t>
            </w:r>
            <w:r w:rsidR="00426E16" w:rsidRPr="00426E16">
              <w:rPr>
                <w:iCs/>
                <w:color w:val="002060"/>
                <w:lang w:val="en-US"/>
              </w:rPr>
              <w:t xml:space="preserve">including </w:t>
            </w:r>
            <w:r w:rsidR="00426E16">
              <w:rPr>
                <w:iCs/>
                <w:color w:val="002060"/>
                <w:lang w:val="en-US"/>
              </w:rPr>
              <w:t>q</w:t>
            </w:r>
            <w:r w:rsidR="002655C4" w:rsidRPr="00426E16">
              <w:rPr>
                <w:iCs/>
                <w:color w:val="002060"/>
                <w:lang w:val="en-US"/>
              </w:rPr>
              <w:t>uestions (multiple choice and open text) (60%)</w:t>
            </w:r>
          </w:p>
          <w:p w:rsidR="0020684A" w:rsidRDefault="002655C4" w:rsidP="002655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color w:val="002060"/>
                <w:lang w:val="en-US"/>
              </w:rPr>
            </w:pPr>
            <w:r w:rsidRPr="002655C4">
              <w:rPr>
                <w:iCs/>
                <w:color w:val="002060"/>
                <w:lang w:val="en-US"/>
              </w:rPr>
              <w:t>Project Assignment</w:t>
            </w:r>
            <w:r>
              <w:rPr>
                <w:iCs/>
                <w:color w:val="002060"/>
                <w:lang w:val="en-US"/>
              </w:rPr>
              <w:t xml:space="preserve"> (40%)</w:t>
            </w:r>
          </w:p>
          <w:p w:rsidR="00426E16" w:rsidRDefault="00426E16" w:rsidP="00426E16">
            <w:pPr>
              <w:spacing w:after="0" w:line="240" w:lineRule="auto"/>
              <w:rPr>
                <w:iCs/>
                <w:color w:val="002060"/>
                <w:lang w:val="en-US"/>
              </w:rPr>
            </w:pPr>
          </w:p>
          <w:p w:rsidR="00426E16" w:rsidRPr="00426E16" w:rsidRDefault="00426E16" w:rsidP="00426E16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T</w:t>
            </w:r>
            <w:r w:rsidRPr="005F04BB">
              <w:rPr>
                <w:iCs/>
                <w:color w:val="002060"/>
                <w:lang w:val="en-US"/>
              </w:rPr>
              <w:t xml:space="preserve">here is the possibility to </w:t>
            </w:r>
            <w:r>
              <w:rPr>
                <w:iCs/>
                <w:color w:val="002060"/>
                <w:lang w:val="en-US"/>
              </w:rPr>
              <w:t>conduct</w:t>
            </w:r>
            <w:r w:rsidRPr="005F04BB">
              <w:rPr>
                <w:iCs/>
                <w:color w:val="002060"/>
                <w:lang w:val="en-US"/>
              </w:rPr>
              <w:t xml:space="preserve"> the </w:t>
            </w:r>
            <w:r>
              <w:rPr>
                <w:iCs/>
                <w:color w:val="002060"/>
                <w:lang w:val="en-US"/>
              </w:rPr>
              <w:t xml:space="preserve">written </w:t>
            </w:r>
            <w:r w:rsidRPr="005F04BB">
              <w:rPr>
                <w:iCs/>
                <w:color w:val="002060"/>
                <w:lang w:val="en-US"/>
              </w:rPr>
              <w:t xml:space="preserve">exams, either at the end of the </w:t>
            </w:r>
            <w:r>
              <w:rPr>
                <w:iCs/>
                <w:color w:val="002060"/>
                <w:lang w:val="en-US"/>
              </w:rPr>
              <w:t>S</w:t>
            </w:r>
            <w:r w:rsidRPr="005F04BB">
              <w:rPr>
                <w:iCs/>
                <w:color w:val="002060"/>
                <w:lang w:val="en-US"/>
              </w:rPr>
              <w:t xml:space="preserve">emester (with all the </w:t>
            </w:r>
            <w:r>
              <w:rPr>
                <w:iCs/>
                <w:color w:val="002060"/>
                <w:lang w:val="en-US"/>
              </w:rPr>
              <w:t xml:space="preserve">course </w:t>
            </w:r>
            <w:r w:rsidRPr="005F04BB">
              <w:rPr>
                <w:iCs/>
                <w:color w:val="002060"/>
                <w:lang w:val="en-US"/>
              </w:rPr>
              <w:t xml:space="preserve">material), or with two separate </w:t>
            </w:r>
            <w:r>
              <w:rPr>
                <w:iCs/>
                <w:color w:val="002060"/>
                <w:lang w:val="en-US"/>
              </w:rPr>
              <w:t>exams</w:t>
            </w:r>
            <w:r w:rsidRPr="005F04BB">
              <w:rPr>
                <w:iCs/>
                <w:color w:val="002060"/>
                <w:lang w:val="en-US"/>
              </w:rPr>
              <w:t xml:space="preserve">, in the middle and at the end of the semester, with half the </w:t>
            </w:r>
            <w:r>
              <w:rPr>
                <w:iCs/>
                <w:color w:val="002060"/>
                <w:lang w:val="en-US"/>
              </w:rPr>
              <w:t xml:space="preserve">course </w:t>
            </w:r>
            <w:r w:rsidRPr="005F04BB">
              <w:rPr>
                <w:iCs/>
                <w:color w:val="002060"/>
                <w:lang w:val="en-US"/>
              </w:rPr>
              <w:t>material at a time.</w:t>
            </w:r>
          </w:p>
        </w:tc>
      </w:tr>
    </w:tbl>
    <w:p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9F2B58" w:rsidTr="00BF6D32">
        <w:tc>
          <w:tcPr>
            <w:tcW w:w="8472" w:type="dxa"/>
          </w:tcPr>
          <w:p w:rsidR="008D4C8C" w:rsidRPr="00426E16" w:rsidRDefault="006725FB" w:rsidP="00426E1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i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/>
                <w:bCs/>
                <w:i/>
                <w:color w:val="002060"/>
                <w:sz w:val="20"/>
                <w:szCs w:val="20"/>
                <w:lang w:val="en-US"/>
              </w:rPr>
              <w:t>Suggested</w:t>
            </w:r>
            <w:r w:rsidR="008D4C8C" w:rsidRPr="00426E16">
              <w:rPr>
                <w:rFonts w:ascii="Calibri" w:eastAsia="Times New Roman" w:hAnsi="Calibri" w:cs="Arial"/>
                <w:b/>
                <w:bCs/>
                <w:i/>
                <w:color w:val="002060"/>
                <w:sz w:val="20"/>
                <w:szCs w:val="20"/>
                <w:lang w:val="en-US"/>
              </w:rPr>
              <w:t>:</w:t>
            </w:r>
          </w:p>
          <w:p w:rsidR="00426E16" w:rsidRPr="00426E16" w:rsidRDefault="00426E16" w:rsidP="00426E16">
            <w:pPr>
              <w:spacing w:after="0" w:line="240" w:lineRule="auto"/>
              <w:ind w:left="426" w:hanging="426"/>
              <w:jc w:val="both"/>
              <w:rPr>
                <w:iCs/>
                <w:color w:val="002060"/>
                <w:lang w:val="en-US"/>
              </w:rPr>
            </w:pPr>
            <w:r w:rsidRPr="00426E16">
              <w:rPr>
                <w:iCs/>
                <w:color w:val="002060"/>
                <w:lang w:val="en-US"/>
              </w:rPr>
              <w:t>•</w:t>
            </w:r>
            <w:r w:rsidRPr="00426E16">
              <w:rPr>
                <w:iCs/>
                <w:color w:val="002060"/>
                <w:lang w:val="en-US"/>
              </w:rPr>
              <w:tab/>
              <w:t xml:space="preserve">Lavoie, M. (2018): ‘Εισαγωγή στη Μετα-Κεϊνσιανή Οικονομική Θεωρία’, Εκδ. Gutenberg, Αθήνα. </w:t>
            </w:r>
          </w:p>
          <w:p w:rsidR="00426E16" w:rsidRPr="00426E16" w:rsidRDefault="00426E16" w:rsidP="00426E16">
            <w:pPr>
              <w:spacing w:after="0" w:line="240" w:lineRule="auto"/>
              <w:ind w:left="426" w:hanging="426"/>
              <w:jc w:val="both"/>
              <w:rPr>
                <w:iCs/>
                <w:color w:val="002060"/>
                <w:lang w:val="en-US"/>
              </w:rPr>
            </w:pPr>
            <w:r w:rsidRPr="00426E16">
              <w:rPr>
                <w:iCs/>
                <w:color w:val="002060"/>
                <w:lang w:val="en-US"/>
              </w:rPr>
              <w:t>•</w:t>
            </w:r>
            <w:r w:rsidRPr="00426E16">
              <w:rPr>
                <w:iCs/>
                <w:color w:val="002060"/>
                <w:lang w:val="en-US"/>
              </w:rPr>
              <w:tab/>
              <w:t xml:space="preserve">Bowles, S., Edwards, R., και Roosevelt Fr. (2014): ‘Κατανοώντας τον Καπιταλισμό – Ανταγωνισμός, Εντολή και Μεταβολή’, Εκδ. Gutenberg, Αθήνα. </w:t>
            </w:r>
          </w:p>
          <w:p w:rsidR="00426E16" w:rsidRPr="00426E16" w:rsidRDefault="00426E16" w:rsidP="00426E16">
            <w:pPr>
              <w:spacing w:after="0" w:line="288" w:lineRule="auto"/>
              <w:jc w:val="both"/>
              <w:rPr>
                <w:rFonts w:cstheme="minorHAnsi"/>
                <w:color w:val="006699"/>
                <w:sz w:val="20"/>
                <w:szCs w:val="20"/>
                <w:highlight w:val="yellow"/>
              </w:rPr>
            </w:pPr>
          </w:p>
          <w:p w:rsidR="00426E16" w:rsidRPr="00426E16" w:rsidRDefault="00426E16" w:rsidP="00426E1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i/>
                <w:color w:val="002060"/>
                <w:sz w:val="20"/>
                <w:szCs w:val="20"/>
                <w:lang w:val="en-US"/>
              </w:rPr>
            </w:pPr>
          </w:p>
          <w:p w:rsidR="00426E16" w:rsidRPr="00426E16" w:rsidRDefault="00426E16" w:rsidP="00426E16">
            <w:pPr>
              <w:pStyle w:val="Heading3"/>
              <w:rPr>
                <w:rFonts w:ascii="Calibri" w:hAnsi="Calibri" w:cs="Arial"/>
                <w:i/>
                <w:color w:val="002060"/>
                <w:sz w:val="20"/>
                <w:szCs w:val="20"/>
                <w:lang w:val="en-US" w:eastAsia="en-US"/>
              </w:rPr>
            </w:pPr>
            <w:r w:rsidRPr="00426E16">
              <w:rPr>
                <w:rFonts w:ascii="Calibri" w:hAnsi="Calibri" w:cs="Arial"/>
                <w:i/>
                <w:color w:val="002060"/>
                <w:sz w:val="20"/>
                <w:szCs w:val="20"/>
                <w:lang w:val="en-US" w:eastAsia="en-US"/>
              </w:rPr>
              <w:t>Additional (optional) Bibliography</w:t>
            </w:r>
          </w:p>
          <w:p w:rsidR="00426E16" w:rsidRPr="00426E16" w:rsidRDefault="00426E16" w:rsidP="00426E16">
            <w:pPr>
              <w:spacing w:after="0" w:line="240" w:lineRule="auto"/>
              <w:jc w:val="both"/>
              <w:rPr>
                <w:rFonts w:cstheme="minorHAnsi"/>
                <w:color w:val="006699"/>
                <w:sz w:val="20"/>
              </w:rPr>
            </w:pP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Heilbroner R. (2000): ‘Οι φιλόσοφοι του οικονομικού κόσμου – Η ζωή και οι ιδέες τους’, Εκδ. Κριτική,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Galbraith J.K. (2001): ‘Μια σφαιρική άποψη για την οικονομία - μια κριτική εξιστόρηση’, Εκδ. Παπαζήση,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Polanyi Κ. (2001): ‘Ο μεγάλος μετασχηματισμός’, Εκδ. Νησίδες,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Βαρουφάκης Γ. (2007): ‘Πολιτική Οικονομία – Η οικονομική θεωρία στο φώς της κριτικής’, Εκδ. Gutenberg,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Κόλλιας Χρ. και Μ. Ζουμπουλάκης (Επιμ.) (2010): ‘Σύγχρονη πολιτική οικονομία’, Εκδ. Πατάκη,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Βλάχου, Α. (Επιμ. ) (2009): ‘Πολιτική οικονομία του καπιταλισμού’, Εκδ. Κριτική, Αθήνα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Γιανναράς Χρ. (1989): ‘Το πραγματικό και το φαντασιώδες στην πολιτική οικονομία’, Εκδ. Δόμος, Αθήνα.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Κορλίρας Π. (2003): ‘Η αναζήτηση της οικονομικής τάξης – Δοκίμια στη φιλοσοφία και στην ιστορία της Πολιτικής Οικονομίας’, Εκδ. Λιβάνη, Αθήνα. </w:t>
            </w:r>
          </w:p>
          <w:p w:rsidR="00426E16" w:rsidRPr="00426E16" w:rsidRDefault="00426E16" w:rsidP="00426E16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Tae-Hee Jo, Lynne Chester, and Carlo D'Ippoliti (Eds) (2017): ‘The Routledge Handbook of Heterodox Economics: Theorizing, Analyzing, and Transforming Capitalism’, Routledge, New York.  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Cohn, St. (2007): Reintroducing Macroeconomics, A Critical Approach, Ed. M. E. Sharpe, NY.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Hill R. and T. Myatt (2010): ‘The Economics Anti-Textbook’, Zed Books, London &amp; New York.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Prasch R. (2008): ‘How Markets Work – Supply, Demand and the «Real World»’, Edward Elgar, Cheltenham, UK &amp; Northampton MA, USA.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Stuhlberger Wjuniski, B. and Fernandez, R.G. (2010): Karl Polanyi, Athens and us: The contemporary significance of Polanyi’s thought, Brazilian Journal of Political Economy, Vol. 30, nº 3 (119), pp. 420-437.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Lavoie M. (2006): ‘Introduction to Post-Keynesian Economics’, Palgrave Macmillan, NY.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van den Berg A., Spithoven A. and J. Groenewegen (2010):  ‘Institutional Economics – An Introduction’, Palgrave Macmillan, NY.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Stilwell Fr. (2011): ‘Political Economy: The Contest of Economic Ideas’, 3rd Edition, Oxford University Press, USA.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Bougrine, H., I. Parker and M. Seccareccia (2010): ‘Introducing Microeconomic Analysis: Issues, Questions, and Competing Views’, Emond Montgomery Publications, Toronto, Canada.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Sherman, H., Hunt Ε.Κ., Nesiba, R., O’Hara, Ph. and B. Wiens-Tuers (2008): ‘Economics: An Introduction to Traditional and Radical Views’, 7th Edition, M.E. Sharpe, New York. 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Keen St. (2011): ‘Debunking Economics - Revised and Expanded Edition: The Naked Emperor Dethroned?’, Zed Books, London &amp; New York.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Fullbrook E. (Ed) (2008): ‘Pluralist Economics’, Zed Books, London &amp; New York.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Atkins, P. and I. Bowler (2001): ‘Food in Society’, Hodder Education, London.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Rosin, Ch., Stock, P. and Campbell, H (Eds) (2014): Food Systems Failure – The global food crisis and the future of agriculture, Ed. Earthscan-Routledge, NY.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Weis, T. (2007): The Global Food Economy – The battle for the future of farming, Zed Books, London.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Howard, Ph. (2016): Concentration and Power in the Food System – Who controls what we eat?, Bloomsbury, London.</w:t>
            </w:r>
          </w:p>
          <w:p w:rsidR="00426E16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Lang, T. and Heasman, M. (2005): Food Wars – The global battle for mouths, minds and markets, Ed. Earthscan-Routledge, NY.</w:t>
            </w:r>
          </w:p>
          <w:p w:rsidR="000A6613" w:rsidRPr="00426E16" w:rsidRDefault="00426E16" w:rsidP="00426E1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426E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Casson, R. and Errington, A. (1993): The Farm Family Business, CABI, Wallingford, UK.</w:t>
            </w:r>
          </w:p>
          <w:p w:rsidR="000A6613" w:rsidRPr="000A6613" w:rsidRDefault="000A6613" w:rsidP="00426E1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D61"/>
    <w:multiLevelType w:val="hybridMultilevel"/>
    <w:tmpl w:val="91EC8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26E"/>
    <w:multiLevelType w:val="hybridMultilevel"/>
    <w:tmpl w:val="E4AE93D0"/>
    <w:lvl w:ilvl="0" w:tplc="3BCA21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0048A"/>
    <w:multiLevelType w:val="hybridMultilevel"/>
    <w:tmpl w:val="84A8C9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F2F39"/>
    <w:multiLevelType w:val="hybridMultilevel"/>
    <w:tmpl w:val="4D18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F576B"/>
    <w:multiLevelType w:val="hybridMultilevel"/>
    <w:tmpl w:val="C6320C7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9D2B21"/>
    <w:multiLevelType w:val="hybridMultilevel"/>
    <w:tmpl w:val="986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3E6F"/>
    <w:multiLevelType w:val="hybridMultilevel"/>
    <w:tmpl w:val="B33E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A711F"/>
    <w:multiLevelType w:val="hybridMultilevel"/>
    <w:tmpl w:val="11F4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638B8"/>
    <w:multiLevelType w:val="hybridMultilevel"/>
    <w:tmpl w:val="35DC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8"/>
  </w:num>
  <w:num w:numId="4">
    <w:abstractNumId w:val="19"/>
  </w:num>
  <w:num w:numId="5">
    <w:abstractNumId w:val="19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2"/>
  </w:num>
  <w:num w:numId="13">
    <w:abstractNumId w:val="16"/>
  </w:num>
  <w:num w:numId="14">
    <w:abstractNumId w:val="21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21"/>
  </w:num>
  <w:num w:numId="20">
    <w:abstractNumId w:val="7"/>
  </w:num>
  <w:num w:numId="21">
    <w:abstractNumId w:val="9"/>
  </w:num>
  <w:num w:numId="22">
    <w:abstractNumId w:val="11"/>
  </w:num>
  <w:num w:numId="23">
    <w:abstractNumId w:val="13"/>
  </w:num>
  <w:num w:numId="24">
    <w:abstractNumId w:val="20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A6613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51FD2"/>
    <w:rsid w:val="002655C4"/>
    <w:rsid w:val="002743E3"/>
    <w:rsid w:val="00275CDB"/>
    <w:rsid w:val="002A2C0D"/>
    <w:rsid w:val="003548B3"/>
    <w:rsid w:val="003966D9"/>
    <w:rsid w:val="003B45BC"/>
    <w:rsid w:val="00426E16"/>
    <w:rsid w:val="004D4631"/>
    <w:rsid w:val="004E03E3"/>
    <w:rsid w:val="004E56D6"/>
    <w:rsid w:val="00512283"/>
    <w:rsid w:val="00570308"/>
    <w:rsid w:val="005B41BC"/>
    <w:rsid w:val="005E094A"/>
    <w:rsid w:val="006151C0"/>
    <w:rsid w:val="006725FB"/>
    <w:rsid w:val="006C1EDF"/>
    <w:rsid w:val="006C4731"/>
    <w:rsid w:val="006C74B6"/>
    <w:rsid w:val="006C77DD"/>
    <w:rsid w:val="007144D5"/>
    <w:rsid w:val="00726337"/>
    <w:rsid w:val="00782BFD"/>
    <w:rsid w:val="008149C3"/>
    <w:rsid w:val="008343A9"/>
    <w:rsid w:val="008D1BD9"/>
    <w:rsid w:val="008D4C8C"/>
    <w:rsid w:val="00906BD3"/>
    <w:rsid w:val="00907017"/>
    <w:rsid w:val="00974C95"/>
    <w:rsid w:val="009F2B58"/>
    <w:rsid w:val="00A33000"/>
    <w:rsid w:val="00A45BD0"/>
    <w:rsid w:val="00A82CE2"/>
    <w:rsid w:val="00AA2391"/>
    <w:rsid w:val="00AD5817"/>
    <w:rsid w:val="00B25922"/>
    <w:rsid w:val="00B425BF"/>
    <w:rsid w:val="00B66EDB"/>
    <w:rsid w:val="00BB5C14"/>
    <w:rsid w:val="00BC0029"/>
    <w:rsid w:val="00CD320A"/>
    <w:rsid w:val="00CE00DC"/>
    <w:rsid w:val="00D924F0"/>
    <w:rsid w:val="00D94F8C"/>
    <w:rsid w:val="00DC6A5A"/>
    <w:rsid w:val="00E53803"/>
    <w:rsid w:val="00EA1E0D"/>
    <w:rsid w:val="00EB1E49"/>
    <w:rsid w:val="00F840AB"/>
    <w:rsid w:val="00F91CA6"/>
    <w:rsid w:val="00FA402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3D990-83B9-427B-9167-917E176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paragraph" w:styleId="Heading3">
    <w:name w:val="heading 3"/>
    <w:basedOn w:val="Normal"/>
    <w:next w:val="Normal"/>
    <w:link w:val="Heading3Char"/>
    <w:uiPriority w:val="99"/>
    <w:qFormat/>
    <w:rsid w:val="00426E16"/>
    <w:pPr>
      <w:keepNext/>
      <w:spacing w:after="0" w:line="288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782BFD"/>
  </w:style>
  <w:style w:type="character" w:customStyle="1" w:styleId="Heading3Char">
    <w:name w:val="Heading 3 Char"/>
    <w:basedOn w:val="DefaultParagraphFont"/>
    <w:link w:val="Heading3"/>
    <w:uiPriority w:val="99"/>
    <w:rsid w:val="00426E1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2026-03-10T16:30:00Z</dcterms:created>
  <dcterms:modified xsi:type="dcterms:W3CDTF">2026-03-10T16:30:00Z</dcterms:modified>
</cp:coreProperties>
</file>