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91304" w14:textId="77777777" w:rsidR="006151C0" w:rsidRPr="00C20232" w:rsidRDefault="006151C0" w:rsidP="003809BC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4"/>
          <w:szCs w:val="24"/>
        </w:rPr>
        <w:t>COURSE LAYOUT</w:t>
      </w:r>
    </w:p>
    <w:p w14:paraId="4D2B4C48" w14:textId="77777777" w:rsidR="006151C0" w:rsidRPr="00050B81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1126"/>
        <w:gridCol w:w="1281"/>
        <w:gridCol w:w="1207"/>
        <w:gridCol w:w="344"/>
        <w:gridCol w:w="1221"/>
      </w:tblGrid>
      <w:tr w:rsidR="006151C0" w:rsidRPr="00881210" w14:paraId="3DA30126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111A391B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14:paraId="360D7735" w14:textId="77777777" w:rsidR="006151C0" w:rsidRPr="00CC7544" w:rsidRDefault="00AA2391" w:rsidP="003809BC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val="en-US"/>
              </w:rPr>
            </w:pPr>
            <w:r w:rsidRPr="00CC7544">
              <w:rPr>
                <w:rFonts w:eastAsia="Times New Roman" w:cstheme="minorHAnsi"/>
                <w:color w:val="002060"/>
                <w:sz w:val="20"/>
                <w:szCs w:val="20"/>
                <w:lang w:val="en-US"/>
              </w:rPr>
              <w:t>APPLIED ECONOMICS AND SOCIAL SCIENCES</w:t>
            </w:r>
          </w:p>
        </w:tc>
      </w:tr>
      <w:tr w:rsidR="006151C0" w:rsidRPr="00050B81" w14:paraId="333A6CB0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316FE0ED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14:paraId="2C14C0EF" w14:textId="77777777" w:rsidR="006151C0" w:rsidRPr="00CC7544" w:rsidRDefault="006151C0" w:rsidP="003809BC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val="en-US"/>
              </w:rPr>
            </w:pPr>
            <w:r w:rsidRPr="00CC7544">
              <w:rPr>
                <w:rFonts w:eastAsia="Times New Roman" w:cstheme="minorHAnsi"/>
                <w:color w:val="002060"/>
                <w:sz w:val="20"/>
                <w:szCs w:val="20"/>
                <w:lang w:val="en-US"/>
              </w:rPr>
              <w:t>AGRICULTURAL ECONOMICS &amp; RURAL DEVELOPMENT</w:t>
            </w:r>
          </w:p>
        </w:tc>
      </w:tr>
      <w:tr w:rsidR="006151C0" w:rsidRPr="00050B81" w14:paraId="34D09665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636869F0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31" w:type="dxa"/>
            <w:gridSpan w:val="5"/>
          </w:tcPr>
          <w:p w14:paraId="37B4F966" w14:textId="77777777" w:rsidR="006151C0" w:rsidRPr="00CC7544" w:rsidRDefault="006151C0" w:rsidP="003809BC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</w:rPr>
            </w:pPr>
            <w:proofErr w:type="spellStart"/>
            <w:r w:rsidRPr="00CC7544">
              <w:rPr>
                <w:rFonts w:eastAsia="Times New Roman" w:cstheme="minorHAnsi"/>
                <w:i/>
                <w:sz w:val="20"/>
                <w:szCs w:val="20"/>
              </w:rPr>
              <w:t>Undergraduate</w:t>
            </w:r>
            <w:proofErr w:type="spellEnd"/>
          </w:p>
        </w:tc>
      </w:tr>
      <w:tr w:rsidR="006151C0" w:rsidRPr="00050B81" w14:paraId="2CAD85E2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41268073" w14:textId="77777777" w:rsidR="006151C0" w:rsidRPr="001A3F9B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14:paraId="7D1A9ADC" w14:textId="34872A7B" w:rsidR="006151C0" w:rsidRPr="001D341B" w:rsidRDefault="00881210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9C4213">
              <w:rPr>
                <w:rFonts w:ascii="Calibri" w:eastAsia="Times New Roman" w:hAnsi="Calibri" w:cs="Arial"/>
                <w:b/>
                <w:color w:val="0F243E" w:themeColor="text2" w:themeShade="80"/>
                <w:sz w:val="20"/>
                <w:szCs w:val="20"/>
                <w:lang w:val="en-US"/>
              </w:rPr>
              <w:t>262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14:paraId="00B3D706" w14:textId="77777777" w:rsidR="006151C0" w:rsidRPr="006151C0" w:rsidRDefault="006151C0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1591" w:type="dxa"/>
            <w:gridSpan w:val="2"/>
          </w:tcPr>
          <w:p w14:paraId="0E4CA047" w14:textId="47343ED7" w:rsidR="006151C0" w:rsidRPr="006C74B6" w:rsidRDefault="00881210" w:rsidP="006151C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8</w:t>
            </w:r>
            <w:r w:rsidRPr="00881210">
              <w:rPr>
                <w:rFonts w:ascii="Calibri" w:eastAsia="Times New Roman" w:hAnsi="Calibri" w:cs="Arial"/>
                <w:color w:val="002060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="006C74B6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6151C0" w:rsidRPr="00881210" w14:paraId="66F70DB4" w14:textId="77777777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14:paraId="17F5F606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14:paraId="51EC07E0" w14:textId="3F5C2F01" w:rsidR="006151C0" w:rsidRPr="006151C0" w:rsidRDefault="00881210" w:rsidP="001A3F9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CC7544">
              <w:rPr>
                <w:rFonts w:cs="Arial"/>
                <w:color w:val="0F243E" w:themeColor="text2" w:themeShade="80"/>
                <w:sz w:val="20"/>
                <w:szCs w:val="20"/>
                <w:lang w:val="en-US"/>
              </w:rPr>
              <w:t>DERIVATIVES WITH APPLICATIONS IN THE SUPPLY CHAIN OF AGRICULTURAL AND FOOF PRODUCTS</w:t>
            </w:r>
          </w:p>
        </w:tc>
      </w:tr>
      <w:tr w:rsidR="006151C0" w:rsidRPr="00050B81" w14:paraId="770158E1" w14:textId="77777777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14:paraId="2ED59526" w14:textId="77777777"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14:paraId="52C795B7" w14:textId="77777777"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14:paraId="4DC76F30" w14:textId="77777777"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6151C0" w:rsidRPr="00050B81" w14:paraId="69111906" w14:textId="77777777" w:rsidTr="00BF6D32">
        <w:trPr>
          <w:trHeight w:val="194"/>
        </w:trPr>
        <w:tc>
          <w:tcPr>
            <w:tcW w:w="5637" w:type="dxa"/>
            <w:gridSpan w:val="3"/>
          </w:tcPr>
          <w:p w14:paraId="09BBA4C8" w14:textId="77777777" w:rsidR="006151C0" w:rsidRPr="00726337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 w:rsidRPr="00515A4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Lectures</w:t>
            </w:r>
          </w:p>
        </w:tc>
        <w:tc>
          <w:tcPr>
            <w:tcW w:w="1559" w:type="dxa"/>
            <w:gridSpan w:val="2"/>
          </w:tcPr>
          <w:p w14:paraId="7EAD35A3" w14:textId="77777777" w:rsidR="006151C0" w:rsidRPr="00726337" w:rsidRDefault="00AA2391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5</w:t>
            </w:r>
          </w:p>
        </w:tc>
        <w:tc>
          <w:tcPr>
            <w:tcW w:w="1240" w:type="dxa"/>
          </w:tcPr>
          <w:p w14:paraId="55EFBC21" w14:textId="77777777" w:rsidR="006151C0" w:rsidRPr="00F840AB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050B81" w:rsidRPr="00050B81" w14:paraId="766C84AD" w14:textId="77777777" w:rsidTr="00BF6D32">
        <w:trPr>
          <w:trHeight w:val="194"/>
        </w:trPr>
        <w:tc>
          <w:tcPr>
            <w:tcW w:w="5637" w:type="dxa"/>
            <w:gridSpan w:val="3"/>
          </w:tcPr>
          <w:p w14:paraId="4FF9EF9E" w14:textId="77777777"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26A6494" w14:textId="77777777"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6A155FD" w14:textId="77777777"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050B81" w:rsidRPr="00050B81" w14:paraId="44F4D14D" w14:textId="77777777" w:rsidTr="00BF6D32">
        <w:trPr>
          <w:trHeight w:val="194"/>
        </w:trPr>
        <w:tc>
          <w:tcPr>
            <w:tcW w:w="5637" w:type="dxa"/>
            <w:gridSpan w:val="3"/>
          </w:tcPr>
          <w:p w14:paraId="3C2AE2C6" w14:textId="77777777"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44A9E92" w14:textId="77777777"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DB21C4F" w14:textId="77777777"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6151C0" w:rsidRPr="00050B81" w14:paraId="54FC8FE2" w14:textId="77777777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14:paraId="7F0E3F33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14:paraId="609B8BA0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4A485BF5" w14:textId="77777777" w:rsidR="006151C0" w:rsidRPr="006151C0" w:rsidRDefault="00906BD3" w:rsidP="006C74B6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Scientific area</w:t>
            </w:r>
          </w:p>
        </w:tc>
      </w:tr>
      <w:tr w:rsidR="006151C0" w:rsidRPr="00050B81" w14:paraId="4A0F8472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7828AEAF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  <w:p w14:paraId="4BC26AC2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7C865FA0" w14:textId="77777777" w:rsidR="006151C0" w:rsidRPr="006151C0" w:rsidRDefault="006151C0" w:rsidP="006151C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6151C0" w:rsidRPr="00050B81" w14:paraId="347EE549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5058E50D" w14:textId="77777777"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14:paraId="7D58032E" w14:textId="77777777" w:rsidR="006151C0" w:rsidRPr="00515A4B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Greek</w:t>
            </w:r>
          </w:p>
        </w:tc>
      </w:tr>
      <w:tr w:rsidR="006151C0" w:rsidRPr="00050B81" w14:paraId="3594C3D4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032EF8D1" w14:textId="77777777" w:rsidR="006151C0" w:rsidRPr="00F77300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IS THE COURSE OFFERED for 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5231" w:type="dxa"/>
            <w:gridSpan w:val="5"/>
          </w:tcPr>
          <w:p w14:paraId="3C0C0E7E" w14:textId="77777777" w:rsidR="006151C0" w:rsidRPr="00515A4B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No</w:t>
            </w:r>
          </w:p>
        </w:tc>
      </w:tr>
      <w:tr w:rsidR="006C74B6" w:rsidRPr="00881210" w14:paraId="25D652CB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27297482" w14:textId="77777777" w:rsidR="006C74B6" w:rsidRPr="00050B81" w:rsidRDefault="006C74B6" w:rsidP="006C74B6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14:paraId="7C67668E" w14:textId="0F15D573" w:rsidR="006C74B6" w:rsidRPr="00050B81" w:rsidRDefault="00D77545" w:rsidP="006C74B6">
            <w:pPr>
              <w:rPr>
                <w:rFonts w:ascii="Calibri" w:hAnsi="Calibri" w:cs="Arial"/>
                <w:color w:val="002060"/>
                <w:sz w:val="20"/>
                <w:szCs w:val="20"/>
                <w:lang w:val="en-GB"/>
              </w:rPr>
            </w:pPr>
            <w:hyperlink r:id="rId6" w:history="1">
              <w:r w:rsidR="00F30B12" w:rsidRPr="00F30B12">
                <w:rPr>
                  <w:color w:val="0000FF"/>
                  <w:u w:val="single"/>
                  <w:lang w:val="en-GB"/>
                </w:rPr>
                <w:t>https://mediasrv.aua.gr/eclass/courses/429/</w:t>
              </w:r>
            </w:hyperlink>
          </w:p>
        </w:tc>
      </w:tr>
    </w:tbl>
    <w:p w14:paraId="2A32FD4E" w14:textId="77777777" w:rsidR="006151C0" w:rsidRPr="006151C0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 w:rsidRPr="006151C0"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6151C0" w:rsidRPr="00050B81" w14:paraId="1E3A9A54" w14:textId="77777777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14:paraId="012C5EB9" w14:textId="77777777" w:rsidR="006151C0" w:rsidRPr="00050B81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Learning</w:t>
            </w:r>
            <w:proofErr w:type="spellEnd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1A3F9B" w:rsidRPr="00881210" w14:paraId="4898E464" w14:textId="77777777" w:rsidTr="00050B81">
        <w:tc>
          <w:tcPr>
            <w:tcW w:w="8472" w:type="dxa"/>
            <w:gridSpan w:val="2"/>
          </w:tcPr>
          <w:p w14:paraId="5F9A2ADA" w14:textId="7D04539F" w:rsidR="00CC7544" w:rsidRPr="00C124F8" w:rsidRDefault="00CC7544" w:rsidP="00CC7544">
            <w:pPr>
              <w:spacing w:after="0" w:line="240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 xml:space="preserve">The course is the main introductory course in the concepts of derivatives with applications in the supply chain of agricultural and food products. </w:t>
            </w: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 xml:space="preserve">In addition, it highlights the strategic role and modern trends in the derivatives market with applications in </w:t>
            </w: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-US"/>
              </w:rPr>
              <w:t>the supply chain of agricultural and food products. Upon successful completion of the course the student will be able to:</w:t>
            </w:r>
          </w:p>
          <w:p w14:paraId="386AC4DD" w14:textId="77777777" w:rsidR="00CC7544" w:rsidRPr="00C124F8" w:rsidRDefault="00CC7544" w:rsidP="00CC754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4" w:firstLine="0"/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define the key concepts of forward and futures contracts</w:t>
            </w:r>
          </w:p>
          <w:p w14:paraId="730F19B0" w14:textId="77777777" w:rsidR="00CC7544" w:rsidRPr="00C124F8" w:rsidRDefault="00CC7544" w:rsidP="00CC754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4" w:firstLine="0"/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understand the market mechanism and risk hedging with futures contracts</w:t>
            </w:r>
          </w:p>
          <w:p w14:paraId="2559791D" w14:textId="77777777" w:rsidR="00CC7544" w:rsidRPr="00C124F8" w:rsidRDefault="00CC7544" w:rsidP="00CC754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4" w:firstLine="0"/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understand the valuation of futures contracts</w:t>
            </w:r>
          </w:p>
          <w:p w14:paraId="748810E5" w14:textId="77777777" w:rsidR="00CC7544" w:rsidRPr="00C124F8" w:rsidRDefault="00CC7544" w:rsidP="00CC754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4" w:firstLine="0"/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understand Options and their properties</w:t>
            </w:r>
          </w:p>
          <w:p w14:paraId="7BE5765E" w14:textId="77777777" w:rsidR="00CC7544" w:rsidRPr="00C124F8" w:rsidRDefault="00CC7544" w:rsidP="00CC754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4" w:firstLine="0"/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analyze Options and their valuation methods</w:t>
            </w:r>
          </w:p>
          <w:p w14:paraId="32A39506" w14:textId="667043C9" w:rsidR="009F2B58" w:rsidRPr="00CC7544" w:rsidRDefault="00CC7544" w:rsidP="00CC754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4" w:firstLine="0"/>
              <w:rPr>
                <w:rFonts w:eastAsia="Calibr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understand and evaluates SWAPS</w:t>
            </w:r>
          </w:p>
        </w:tc>
      </w:tr>
      <w:tr w:rsidR="00050B81" w:rsidRPr="00050B81" w14:paraId="121987E2" w14:textId="77777777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14:paraId="2C7EA8AC" w14:textId="77777777" w:rsidR="00050B81" w:rsidRPr="00275CDB" w:rsidRDefault="00275CDB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General competences</w:t>
            </w:r>
          </w:p>
        </w:tc>
      </w:tr>
      <w:tr w:rsidR="0098621B" w:rsidRPr="00881210" w14:paraId="7D2C935A" w14:textId="77777777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14:paraId="73CA7F30" w14:textId="66057212" w:rsidR="0098621B" w:rsidRPr="00C124F8" w:rsidRDefault="0098621B" w:rsidP="00986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1F497D" w:themeColor="text2"/>
                <w:sz w:val="20"/>
                <w:szCs w:val="20"/>
              </w:rPr>
            </w:pPr>
            <w:r w:rsidRPr="00C124F8">
              <w:rPr>
                <w:rFonts w:eastAsia="Calibri" w:cstheme="minorHAnsi"/>
                <w:color w:val="1F497D" w:themeColor="text2"/>
                <w:sz w:val="20"/>
                <w:szCs w:val="20"/>
              </w:rPr>
              <w:t>●</w:t>
            </w:r>
            <w:r w:rsidRPr="00C124F8"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C124F8">
              <w:rPr>
                <w:rFonts w:eastAsia="Calibri"/>
                <w:color w:val="1F497D" w:themeColor="text2"/>
                <w:sz w:val="20"/>
                <w:szCs w:val="20"/>
              </w:rPr>
              <w:t>Decision-making</w:t>
            </w:r>
            <w:proofErr w:type="spellEnd"/>
          </w:p>
          <w:p w14:paraId="3A7E5397" w14:textId="6D444A09" w:rsidR="0098621B" w:rsidRPr="00C124F8" w:rsidRDefault="0098621B" w:rsidP="00986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1F497D" w:themeColor="text2"/>
                <w:sz w:val="20"/>
                <w:szCs w:val="20"/>
              </w:rPr>
            </w:pPr>
            <w:r w:rsidRPr="00C124F8">
              <w:rPr>
                <w:rFonts w:eastAsia="Calibri" w:cstheme="minorHAnsi"/>
                <w:color w:val="1F497D" w:themeColor="text2"/>
                <w:sz w:val="20"/>
                <w:szCs w:val="20"/>
              </w:rPr>
              <w:t>●</w:t>
            </w:r>
            <w:r w:rsidRPr="00C124F8"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C124F8">
              <w:rPr>
                <w:rFonts w:eastAsia="Calibri"/>
                <w:color w:val="1F497D" w:themeColor="text2"/>
                <w:sz w:val="20"/>
                <w:szCs w:val="20"/>
              </w:rPr>
              <w:t>Individual</w:t>
            </w:r>
            <w:proofErr w:type="spellEnd"/>
            <w:r w:rsidRPr="00C124F8">
              <w:rPr>
                <w:rFonts w:eastAsia="Calibri"/>
                <w:color w:val="1F497D" w:themeColor="text2"/>
                <w:sz w:val="20"/>
                <w:szCs w:val="20"/>
              </w:rPr>
              <w:t>/</w:t>
            </w:r>
            <w:proofErr w:type="spellStart"/>
            <w:r w:rsidRPr="00C124F8">
              <w:rPr>
                <w:rFonts w:eastAsia="Calibri"/>
                <w:color w:val="1F497D" w:themeColor="text2"/>
                <w:sz w:val="20"/>
                <w:szCs w:val="20"/>
              </w:rPr>
              <w:t>Independent</w:t>
            </w:r>
            <w:proofErr w:type="spellEnd"/>
            <w:r w:rsidRPr="00C124F8">
              <w:rPr>
                <w:rFonts w:eastAsia="Calibr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C124F8">
              <w:rPr>
                <w:rFonts w:eastAsia="Calibri"/>
                <w:color w:val="1F497D" w:themeColor="text2"/>
                <w:sz w:val="20"/>
                <w:szCs w:val="20"/>
              </w:rPr>
              <w:t>work</w:t>
            </w:r>
            <w:proofErr w:type="spellEnd"/>
          </w:p>
          <w:p w14:paraId="7FD3D8AE" w14:textId="6FD92D88" w:rsidR="0098621B" w:rsidRPr="0098621B" w:rsidRDefault="0098621B" w:rsidP="00986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  <w:r w:rsidRPr="00C124F8">
              <w:rPr>
                <w:rFonts w:eastAsia="Calibri" w:cstheme="minorHAnsi"/>
                <w:color w:val="1F497D" w:themeColor="text2"/>
                <w:sz w:val="20"/>
                <w:szCs w:val="20"/>
              </w:rPr>
              <w:t>●</w:t>
            </w:r>
            <w:r w:rsidRPr="00C124F8">
              <w:rPr>
                <w:rFonts w:eastAsia="Calibri" w:cstheme="minorHAnsi"/>
                <w:color w:val="1F497D" w:themeColor="text2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C124F8">
              <w:rPr>
                <w:rFonts w:eastAsia="Calibri"/>
                <w:color w:val="1F497D" w:themeColor="text2"/>
                <w:sz w:val="20"/>
                <w:szCs w:val="20"/>
              </w:rPr>
              <w:t>Group</w:t>
            </w:r>
            <w:proofErr w:type="spellEnd"/>
            <w:r w:rsidRPr="00C124F8">
              <w:rPr>
                <w:rFonts w:eastAsia="Calibri"/>
                <w:color w:val="1F497D" w:themeColor="text2"/>
                <w:sz w:val="20"/>
                <w:szCs w:val="20"/>
              </w:rPr>
              <w:t>/</w:t>
            </w:r>
            <w:proofErr w:type="spellStart"/>
            <w:r w:rsidRPr="00C124F8">
              <w:rPr>
                <w:rFonts w:eastAsia="Calibri"/>
                <w:color w:val="1F497D" w:themeColor="text2"/>
                <w:sz w:val="20"/>
                <w:szCs w:val="20"/>
              </w:rPr>
              <w:t>Team</w:t>
            </w:r>
            <w:proofErr w:type="spellEnd"/>
            <w:r w:rsidRPr="00C124F8">
              <w:rPr>
                <w:rFonts w:eastAsia="Calibr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C124F8">
              <w:rPr>
                <w:rFonts w:eastAsia="Calibri"/>
                <w:color w:val="1F497D" w:themeColor="text2"/>
                <w:sz w:val="20"/>
                <w:szCs w:val="20"/>
              </w:rPr>
              <w:t>work</w:t>
            </w:r>
            <w:proofErr w:type="spellEnd"/>
          </w:p>
        </w:tc>
      </w:tr>
    </w:tbl>
    <w:p w14:paraId="321DE58C" w14:textId="77777777" w:rsidR="00050B81" w:rsidRPr="00050B81" w:rsidRDefault="00275CD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6C74B6" w14:paraId="79E5CB2A" w14:textId="77777777" w:rsidTr="00BF6D32">
        <w:tc>
          <w:tcPr>
            <w:tcW w:w="8472" w:type="dxa"/>
          </w:tcPr>
          <w:p w14:paraId="003F6C86" w14:textId="77777777" w:rsidR="00737BF3" w:rsidRPr="00C124F8" w:rsidRDefault="00737BF3" w:rsidP="00737BF3">
            <w:pPr>
              <w:pStyle w:val="ListParagraph"/>
              <w:spacing w:before="60" w:after="60" w:line="288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 w:eastAsia="el-GR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●   Introduction to Financial Derivatives</w:t>
            </w:r>
          </w:p>
          <w:p w14:paraId="1C3313E5" w14:textId="77777777" w:rsidR="00737BF3" w:rsidRPr="00C124F8" w:rsidRDefault="00737BF3" w:rsidP="00737BF3">
            <w:pPr>
              <w:pStyle w:val="ListParagraph"/>
              <w:spacing w:before="60" w:after="60" w:line="288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 w:eastAsia="el-GR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●   Forward Contracts and Futures Contracts</w:t>
            </w:r>
          </w:p>
          <w:p w14:paraId="6E8EE90B" w14:textId="77777777" w:rsidR="00737BF3" w:rsidRPr="00C124F8" w:rsidRDefault="00737BF3" w:rsidP="00737BF3">
            <w:pPr>
              <w:pStyle w:val="ListParagraph"/>
              <w:spacing w:before="60" w:after="60" w:line="288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 w:eastAsia="el-GR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●   Futures Contracts Market Mechanism</w:t>
            </w:r>
          </w:p>
          <w:p w14:paraId="7B8F43B4" w14:textId="77777777" w:rsidR="00737BF3" w:rsidRPr="00C124F8" w:rsidRDefault="00737BF3" w:rsidP="00737BF3">
            <w:pPr>
              <w:pStyle w:val="ListParagraph"/>
              <w:spacing w:before="60" w:after="60" w:line="288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 w:eastAsia="el-GR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●   Risk Hedging with Futures Contracts</w:t>
            </w:r>
          </w:p>
          <w:p w14:paraId="42254235" w14:textId="77777777" w:rsidR="00737BF3" w:rsidRPr="00C124F8" w:rsidRDefault="00737BF3" w:rsidP="00737BF3">
            <w:pPr>
              <w:pStyle w:val="ListParagraph"/>
              <w:spacing w:before="60" w:after="60" w:line="288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 w:eastAsia="el-GR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●   Forwards and Futures contracts Valuation</w:t>
            </w:r>
          </w:p>
          <w:p w14:paraId="64D2FE4B" w14:textId="36690D9C" w:rsidR="00737BF3" w:rsidRPr="00C124F8" w:rsidRDefault="00737BF3" w:rsidP="00737BF3">
            <w:pPr>
              <w:pStyle w:val="ListParagraph"/>
              <w:spacing w:before="60" w:after="60" w:line="288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 xml:space="preserve">●   Interest Rates and </w:t>
            </w:r>
            <w:r w:rsidR="00505301"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Currency</w:t>
            </w: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 xml:space="preserve"> </w:t>
            </w:r>
            <w:r w:rsidR="00505301"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Exchange</w:t>
            </w: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 xml:space="preserve"> Rates Futures and</w:t>
            </w:r>
          </w:p>
          <w:p w14:paraId="363C8115" w14:textId="3535C761" w:rsidR="00737BF3" w:rsidRPr="00C124F8" w:rsidRDefault="00737BF3" w:rsidP="00737BF3">
            <w:pPr>
              <w:pStyle w:val="ListParagraph"/>
              <w:spacing w:before="60" w:after="60" w:line="288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 w:eastAsia="el-GR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 xml:space="preserve">    Forwards Contracts</w:t>
            </w:r>
          </w:p>
          <w:p w14:paraId="4A30D187" w14:textId="77777777" w:rsidR="00737BF3" w:rsidRPr="00C124F8" w:rsidRDefault="00737BF3" w:rsidP="00737BF3">
            <w:pPr>
              <w:pStyle w:val="ListParagraph"/>
              <w:spacing w:before="60" w:after="60" w:line="288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 w:eastAsia="el-GR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●   Options</w:t>
            </w:r>
          </w:p>
          <w:p w14:paraId="4DE30C26" w14:textId="77777777" w:rsidR="00737BF3" w:rsidRPr="00C124F8" w:rsidRDefault="00737BF3" w:rsidP="00737BF3">
            <w:pPr>
              <w:pStyle w:val="ListParagraph"/>
              <w:spacing w:before="60" w:after="60" w:line="288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 w:eastAsia="el-GR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●   Option Properties</w:t>
            </w:r>
          </w:p>
          <w:p w14:paraId="1A55DB0F" w14:textId="77777777" w:rsidR="00737BF3" w:rsidRPr="00C124F8" w:rsidRDefault="00737BF3" w:rsidP="00737BF3">
            <w:pPr>
              <w:pStyle w:val="ListParagraph"/>
              <w:spacing w:before="60" w:after="60" w:line="288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 w:eastAsia="el-GR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●   Option Strategies</w:t>
            </w:r>
          </w:p>
          <w:p w14:paraId="6AC18C56" w14:textId="77777777" w:rsidR="00737BF3" w:rsidRPr="00C124F8" w:rsidRDefault="00737BF3" w:rsidP="00737BF3">
            <w:pPr>
              <w:pStyle w:val="ListParagraph"/>
              <w:spacing w:before="60" w:after="60" w:line="288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 w:eastAsia="el-GR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lastRenderedPageBreak/>
              <w:t>●   Option Valuation Methods</w:t>
            </w:r>
          </w:p>
          <w:p w14:paraId="1E31C0CC" w14:textId="77777777" w:rsidR="00737BF3" w:rsidRPr="00C124F8" w:rsidRDefault="00737BF3" w:rsidP="00737BF3">
            <w:pPr>
              <w:pStyle w:val="ListParagraph"/>
              <w:spacing w:before="60" w:after="60" w:line="288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 w:eastAsia="el-GR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●   GREEKS</w:t>
            </w:r>
          </w:p>
          <w:p w14:paraId="75BE07C1" w14:textId="77777777" w:rsidR="00737BF3" w:rsidRPr="00C124F8" w:rsidRDefault="00737BF3" w:rsidP="00737BF3">
            <w:pPr>
              <w:pStyle w:val="ListParagraph"/>
              <w:spacing w:before="60" w:after="60" w:line="288" w:lineRule="auto"/>
              <w:jc w:val="both"/>
              <w:rPr>
                <w:rFonts w:cstheme="minorHAnsi"/>
                <w:color w:val="1F497D" w:themeColor="text2"/>
                <w:sz w:val="20"/>
                <w:szCs w:val="20"/>
                <w:lang w:val="en-US" w:eastAsia="el-GR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●   Interest Rates Options</w:t>
            </w:r>
          </w:p>
          <w:p w14:paraId="57F1FF8E" w14:textId="7D12EF37" w:rsidR="00050B81" w:rsidRPr="00737BF3" w:rsidRDefault="00737BF3" w:rsidP="00737BF3">
            <w:pPr>
              <w:pStyle w:val="ListParagraph"/>
              <w:spacing w:before="60" w:after="60" w:line="288" w:lineRule="auto"/>
              <w:jc w:val="both"/>
              <w:rPr>
                <w:rFonts w:cs="Arial"/>
                <w:color w:val="FF0000"/>
                <w:sz w:val="20"/>
                <w:szCs w:val="20"/>
                <w:lang w:val="en-US" w:eastAsia="el-GR"/>
              </w:rPr>
            </w:pPr>
            <w:r w:rsidRPr="00C124F8">
              <w:rPr>
                <w:rFonts w:cstheme="minorHAnsi"/>
                <w:color w:val="1F497D" w:themeColor="text2"/>
                <w:sz w:val="20"/>
                <w:szCs w:val="20"/>
                <w:lang w:val="en"/>
              </w:rPr>
              <w:t>●   SWAPS</w:t>
            </w:r>
          </w:p>
        </w:tc>
      </w:tr>
    </w:tbl>
    <w:p w14:paraId="7FB00FA0" w14:textId="77777777" w:rsidR="006725FB" w:rsidRPr="00737BF3" w:rsidRDefault="006725FB" w:rsidP="006725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 w:rsidRPr="00737BF3">
        <w:rPr>
          <w:rFonts w:ascii="Calibri" w:eastAsia="Times New Roman" w:hAnsi="Calibri" w:cs="Arial"/>
          <w:b/>
          <w:color w:val="000000"/>
          <w:lang w:val="en-US"/>
        </w:rPr>
        <w:lastRenderedPageBreak/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6725FB" w:rsidRPr="00050B81" w14:paraId="67A01DC4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2054799E" w14:textId="77777777" w:rsidR="006725FB" w:rsidRPr="00050B81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METHOD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14:paraId="63CA6C0D" w14:textId="77777777" w:rsidR="006725FB" w:rsidRPr="00C124F8" w:rsidRDefault="006725FB" w:rsidP="000931C2">
            <w:pPr>
              <w:rPr>
                <w:iCs/>
                <w:color w:val="1F497D" w:themeColor="text2"/>
                <w:sz w:val="20"/>
                <w:szCs w:val="20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In class</w:t>
            </w:r>
            <w:r w:rsidRPr="00C124F8">
              <w:rPr>
                <w:iCs/>
                <w:color w:val="1F497D" w:themeColor="text2"/>
                <w:sz w:val="20"/>
                <w:szCs w:val="20"/>
              </w:rPr>
              <w:t xml:space="preserve"> </w:t>
            </w:r>
          </w:p>
        </w:tc>
      </w:tr>
      <w:tr w:rsidR="006725FB" w:rsidRPr="00881210" w14:paraId="3DBC78B6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04A2C964" w14:textId="77777777" w:rsidR="006725FB" w:rsidRPr="00F77300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7414A4FE" w14:textId="77777777" w:rsidR="006725FB" w:rsidRPr="00C124F8" w:rsidRDefault="006725FB" w:rsidP="006725F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b/>
                <w:iCs/>
                <w:color w:val="1F497D" w:themeColor="text2"/>
                <w:sz w:val="20"/>
                <w:szCs w:val="20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e</w:t>
            </w:r>
            <w:r w:rsidRPr="00C124F8">
              <w:rPr>
                <w:iCs/>
                <w:color w:val="1F497D" w:themeColor="text2"/>
                <w:sz w:val="20"/>
                <w:szCs w:val="20"/>
              </w:rPr>
              <w:t>-</w:t>
            </w: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class platform</w:t>
            </w:r>
          </w:p>
          <w:p w14:paraId="570A8FCB" w14:textId="77777777" w:rsidR="006725FB" w:rsidRPr="00C124F8" w:rsidRDefault="006725FB" w:rsidP="000C4C3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1F497D" w:themeColor="text2"/>
                <w:sz w:val="20"/>
                <w:szCs w:val="20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Power</w:t>
            </w:r>
            <w:r w:rsidRPr="00C124F8">
              <w:rPr>
                <w:iCs/>
                <w:color w:val="1F497D" w:themeColor="text2"/>
                <w:sz w:val="20"/>
                <w:szCs w:val="20"/>
              </w:rPr>
              <w:t>-</w:t>
            </w: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Point</w:t>
            </w:r>
            <w:r w:rsidRPr="00C124F8">
              <w:rPr>
                <w:iCs/>
                <w:color w:val="1F497D" w:themeColor="text2"/>
                <w:sz w:val="20"/>
                <w:szCs w:val="20"/>
              </w:rPr>
              <w:t xml:space="preserve"> </w:t>
            </w: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slides</w:t>
            </w:r>
            <w:r w:rsidRPr="00C124F8">
              <w:rPr>
                <w:iCs/>
                <w:color w:val="1F497D" w:themeColor="text2"/>
                <w:sz w:val="20"/>
                <w:szCs w:val="20"/>
              </w:rPr>
              <w:t xml:space="preserve"> </w:t>
            </w:r>
          </w:p>
          <w:p w14:paraId="4B3B51C3" w14:textId="32CDBDE7" w:rsidR="000C4C3C" w:rsidRPr="00C124F8" w:rsidRDefault="000C4C3C" w:rsidP="000C4C3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Communication with students using e</w:t>
            </w:r>
            <w:r w:rsidR="00CC71E8"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-</w:t>
            </w: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class and email</w:t>
            </w:r>
          </w:p>
        </w:tc>
      </w:tr>
      <w:tr w:rsidR="006725FB" w:rsidRPr="00050B81" w14:paraId="1779492C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026FB3EA" w14:textId="77777777" w:rsidR="006725FB" w:rsidRPr="003D76B9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3D76B9"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14:paraId="1255CAAA" w14:textId="77777777" w:rsidR="006725FB" w:rsidRPr="00050B81" w:rsidRDefault="006725FB" w:rsidP="000931C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C124F8" w:rsidRPr="00C124F8" w14:paraId="1F321B18" w14:textId="77777777" w:rsidTr="00B25922">
              <w:tc>
                <w:tcPr>
                  <w:tcW w:w="2467" w:type="dxa"/>
                  <w:shd w:val="clear" w:color="auto" w:fill="DDD9C3" w:themeFill="background2" w:themeFillShade="E6"/>
                  <w:vAlign w:val="center"/>
                </w:tcPr>
                <w:p w14:paraId="004C8726" w14:textId="77777777" w:rsidR="006725FB" w:rsidRPr="00C124F8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</w:pPr>
                  <w:proofErr w:type="spellStart"/>
                  <w:r w:rsidRPr="00C124F8"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shd w:val="clear" w:color="auto" w:fill="DDD9C3" w:themeFill="background2" w:themeFillShade="E6"/>
                  <w:vAlign w:val="center"/>
                </w:tcPr>
                <w:p w14:paraId="12E96771" w14:textId="77777777" w:rsidR="006725FB" w:rsidRPr="00C124F8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</w:pPr>
                  <w:proofErr w:type="spellStart"/>
                  <w:r w:rsidRPr="00C124F8"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  <w:t>Work</w:t>
                  </w:r>
                  <w:proofErr w:type="spellEnd"/>
                  <w:r w:rsidRPr="00C124F8"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  <w:t xml:space="preserve"> </w:t>
                  </w:r>
                  <w:proofErr w:type="spellStart"/>
                  <w:r w:rsidRPr="00C124F8">
                    <w:rPr>
                      <w:rFonts w:ascii="Calibri" w:hAnsi="Calibri" w:cs="Arial"/>
                      <w:i/>
                      <w:color w:val="1F497D" w:themeColor="text2"/>
                      <w:lang w:val="el-GR"/>
                    </w:rPr>
                    <w:t>Load</w:t>
                  </w:r>
                  <w:proofErr w:type="spellEnd"/>
                </w:p>
              </w:tc>
            </w:tr>
            <w:tr w:rsidR="00C124F8" w:rsidRPr="00C124F8" w14:paraId="75313470" w14:textId="77777777" w:rsidTr="00BF6D32">
              <w:tc>
                <w:tcPr>
                  <w:tcW w:w="2467" w:type="dxa"/>
                </w:tcPr>
                <w:p w14:paraId="60461CAC" w14:textId="77777777" w:rsidR="006725FB" w:rsidRPr="00C124F8" w:rsidRDefault="006725FB" w:rsidP="000931C2">
                  <w:pPr>
                    <w:rPr>
                      <w:rFonts w:ascii="Calibri" w:hAnsi="Calibri" w:cs="Arial"/>
                      <w:color w:val="1F497D" w:themeColor="text2"/>
                    </w:rPr>
                  </w:pPr>
                  <w:r w:rsidRPr="00C124F8">
                    <w:rPr>
                      <w:rFonts w:ascii="Calibri" w:hAnsi="Calibri" w:cs="Arial"/>
                      <w:color w:val="1F497D" w:themeColor="text2"/>
                    </w:rPr>
                    <w:t>Lectures</w:t>
                  </w:r>
                </w:p>
              </w:tc>
              <w:tc>
                <w:tcPr>
                  <w:tcW w:w="2468" w:type="dxa"/>
                </w:tcPr>
                <w:p w14:paraId="7CC6E44C" w14:textId="77777777" w:rsidR="006725FB" w:rsidRPr="00C124F8" w:rsidRDefault="00BC0029" w:rsidP="00050B81">
                  <w:pPr>
                    <w:jc w:val="center"/>
                    <w:rPr>
                      <w:rFonts w:ascii="Calibri" w:hAnsi="Calibri" w:cs="Arial"/>
                      <w:color w:val="1F497D" w:themeColor="text2"/>
                    </w:rPr>
                  </w:pPr>
                  <w:r w:rsidRPr="00C124F8">
                    <w:rPr>
                      <w:rFonts w:ascii="Calibri" w:hAnsi="Calibri" w:cs="Arial"/>
                      <w:color w:val="1F497D" w:themeColor="text2"/>
                    </w:rPr>
                    <w:t>60</w:t>
                  </w:r>
                </w:p>
              </w:tc>
            </w:tr>
            <w:tr w:rsidR="00C124F8" w:rsidRPr="00C124F8" w14:paraId="1C536D45" w14:textId="77777777" w:rsidTr="00050B81">
              <w:tc>
                <w:tcPr>
                  <w:tcW w:w="2467" w:type="dxa"/>
                  <w:shd w:val="clear" w:color="auto" w:fill="auto"/>
                </w:tcPr>
                <w:p w14:paraId="7BB59E33" w14:textId="77777777" w:rsidR="006725FB" w:rsidRPr="00C124F8" w:rsidRDefault="006725FB" w:rsidP="000931C2">
                  <w:pPr>
                    <w:rPr>
                      <w:rFonts w:ascii="Calibri" w:hAnsi="Calibri" w:cs="Arial"/>
                      <w:color w:val="1F497D" w:themeColor="text2"/>
                    </w:rPr>
                  </w:pPr>
                  <w:r w:rsidRPr="00C124F8">
                    <w:rPr>
                      <w:rFonts w:ascii="Calibri" w:hAnsi="Calibri" w:cs="Arial"/>
                      <w:color w:val="1F497D" w:themeColor="text2"/>
                    </w:rPr>
                    <w:t>Study at home</w:t>
                  </w:r>
                </w:p>
              </w:tc>
              <w:tc>
                <w:tcPr>
                  <w:tcW w:w="2468" w:type="dxa"/>
                </w:tcPr>
                <w:p w14:paraId="018311ED" w14:textId="77777777" w:rsidR="006725FB" w:rsidRPr="00C124F8" w:rsidRDefault="00BC0029" w:rsidP="00050B81">
                  <w:pPr>
                    <w:jc w:val="center"/>
                    <w:rPr>
                      <w:rFonts w:ascii="Calibri" w:hAnsi="Calibri" w:cs="Arial"/>
                      <w:color w:val="1F497D" w:themeColor="text2"/>
                      <w:lang w:val="el-GR"/>
                    </w:rPr>
                  </w:pPr>
                  <w:r w:rsidRPr="00C124F8">
                    <w:rPr>
                      <w:rFonts w:ascii="Calibri" w:hAnsi="Calibri" w:cs="Arial"/>
                      <w:color w:val="1F497D" w:themeColor="text2"/>
                      <w:lang w:val="el-GR"/>
                    </w:rPr>
                    <w:t>65</w:t>
                  </w:r>
                </w:p>
              </w:tc>
            </w:tr>
            <w:tr w:rsidR="00C124F8" w:rsidRPr="00C124F8" w14:paraId="53D79E2D" w14:textId="77777777" w:rsidTr="00050B81">
              <w:tc>
                <w:tcPr>
                  <w:tcW w:w="2467" w:type="dxa"/>
                  <w:shd w:val="clear" w:color="auto" w:fill="auto"/>
                </w:tcPr>
                <w:p w14:paraId="47939E13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0524121D" w14:textId="77777777" w:rsidR="006725FB" w:rsidRPr="00C124F8" w:rsidRDefault="006725FB" w:rsidP="008343A9">
                  <w:pPr>
                    <w:jc w:val="center"/>
                    <w:rPr>
                      <w:rFonts w:ascii="Calibri" w:hAnsi="Calibri" w:cs="Arial"/>
                      <w:color w:val="1F497D" w:themeColor="text2"/>
                      <w:lang w:val="el-GR"/>
                    </w:rPr>
                  </w:pPr>
                </w:p>
              </w:tc>
            </w:tr>
            <w:tr w:rsidR="00C124F8" w:rsidRPr="00C124F8" w14:paraId="168CA7C3" w14:textId="77777777" w:rsidTr="00050B81">
              <w:tc>
                <w:tcPr>
                  <w:tcW w:w="2467" w:type="dxa"/>
                  <w:shd w:val="clear" w:color="auto" w:fill="auto"/>
                </w:tcPr>
                <w:p w14:paraId="11DC14AB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4311A250" w14:textId="77777777" w:rsidR="006725FB" w:rsidRPr="00C124F8" w:rsidRDefault="006725FB" w:rsidP="008343A9">
                  <w:pPr>
                    <w:jc w:val="center"/>
                    <w:rPr>
                      <w:rFonts w:ascii="Calibri" w:hAnsi="Calibri" w:cs="Arial"/>
                      <w:color w:val="1F497D" w:themeColor="text2"/>
                      <w:lang w:val="el-GR"/>
                    </w:rPr>
                  </w:pPr>
                </w:p>
              </w:tc>
            </w:tr>
            <w:tr w:rsidR="00C124F8" w:rsidRPr="00C124F8" w14:paraId="4127EF60" w14:textId="77777777" w:rsidTr="00050B81">
              <w:tc>
                <w:tcPr>
                  <w:tcW w:w="2467" w:type="dxa"/>
                  <w:shd w:val="clear" w:color="auto" w:fill="auto"/>
                </w:tcPr>
                <w:p w14:paraId="2D0CAF5E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5AB08695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C124F8" w:rsidRPr="00C124F8" w14:paraId="036B6BF7" w14:textId="77777777" w:rsidTr="00050B81">
              <w:tc>
                <w:tcPr>
                  <w:tcW w:w="2467" w:type="dxa"/>
                  <w:shd w:val="clear" w:color="auto" w:fill="auto"/>
                </w:tcPr>
                <w:p w14:paraId="34170945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72CB7C46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C124F8" w:rsidRPr="00C124F8" w14:paraId="478DD55C" w14:textId="77777777" w:rsidTr="00050B81">
              <w:tc>
                <w:tcPr>
                  <w:tcW w:w="2467" w:type="dxa"/>
                  <w:shd w:val="clear" w:color="auto" w:fill="auto"/>
                </w:tcPr>
                <w:p w14:paraId="4B1990D0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2ED54A3D" w14:textId="77777777" w:rsidR="006725FB" w:rsidRPr="00C124F8" w:rsidRDefault="006725FB" w:rsidP="008343A9">
                  <w:pPr>
                    <w:rPr>
                      <w:rFonts w:ascii="Calibri" w:hAnsi="Calibri" w:cs="Arial"/>
                      <w:i/>
                      <w:color w:val="1F497D" w:themeColor="text2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C124F8" w:rsidRPr="00C124F8" w14:paraId="5E9E1ECE" w14:textId="77777777" w:rsidTr="00050B81">
              <w:tc>
                <w:tcPr>
                  <w:tcW w:w="2467" w:type="dxa"/>
                  <w:shd w:val="clear" w:color="auto" w:fill="auto"/>
                </w:tcPr>
                <w:p w14:paraId="273F040A" w14:textId="77777777" w:rsidR="006725FB" w:rsidRPr="00C124F8" w:rsidRDefault="006725FB" w:rsidP="008343A9">
                  <w:pPr>
                    <w:rPr>
                      <w:rFonts w:ascii="Calibri" w:hAnsi="Calibri" w:cs="Arial"/>
                      <w:color w:val="1F497D" w:themeColor="text2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378AB067" w14:textId="77777777" w:rsidR="006725FB" w:rsidRPr="00C124F8" w:rsidRDefault="006725FB" w:rsidP="008343A9">
                  <w:pPr>
                    <w:jc w:val="center"/>
                    <w:rPr>
                      <w:rFonts w:ascii="Calibri" w:hAnsi="Calibri" w:cs="Arial"/>
                      <w:color w:val="1F497D" w:themeColor="text2"/>
                      <w:lang w:val="el-GR"/>
                    </w:rPr>
                  </w:pPr>
                </w:p>
              </w:tc>
            </w:tr>
            <w:tr w:rsidR="00C124F8" w:rsidRPr="00C124F8" w14:paraId="5E01A253" w14:textId="77777777" w:rsidTr="00907017">
              <w:tc>
                <w:tcPr>
                  <w:tcW w:w="2467" w:type="dxa"/>
                </w:tcPr>
                <w:p w14:paraId="7310B84C" w14:textId="77777777" w:rsidR="006725FB" w:rsidRPr="00C124F8" w:rsidRDefault="006725FB" w:rsidP="000931C2">
                  <w:pPr>
                    <w:rPr>
                      <w:rFonts w:ascii="Calibri" w:hAnsi="Calibri" w:cs="Arial"/>
                      <w:b/>
                      <w:i/>
                      <w:color w:val="1F497D" w:themeColor="text2"/>
                    </w:rPr>
                  </w:pPr>
                  <w:r w:rsidRPr="00C124F8">
                    <w:rPr>
                      <w:rFonts w:ascii="Calibri" w:hAnsi="Calibri" w:cs="Arial"/>
                      <w:b/>
                      <w:i/>
                      <w:color w:val="1F497D" w:themeColor="text2"/>
                    </w:rPr>
                    <w:t>Course total</w:t>
                  </w:r>
                </w:p>
                <w:p w14:paraId="637B384A" w14:textId="77777777" w:rsidR="006725FB" w:rsidRPr="00C124F8" w:rsidRDefault="006725FB" w:rsidP="000931C2">
                  <w:pPr>
                    <w:rPr>
                      <w:rFonts w:ascii="Calibri" w:hAnsi="Calibri" w:cs="Arial"/>
                      <w:b/>
                      <w:i/>
                      <w:color w:val="1F497D" w:themeColor="text2"/>
                    </w:rPr>
                  </w:pPr>
                  <w:r w:rsidRPr="00C124F8">
                    <w:rPr>
                      <w:rFonts w:ascii="Calibri" w:hAnsi="Calibri" w:cs="Arial"/>
                      <w:b/>
                      <w:i/>
                      <w:color w:val="1F497D" w:themeColor="text2"/>
                    </w:rPr>
                    <w:t>(25 hours of student work load per ECTS)</w:t>
                  </w:r>
                </w:p>
              </w:tc>
              <w:tc>
                <w:tcPr>
                  <w:tcW w:w="2468" w:type="dxa"/>
                  <w:vAlign w:val="center"/>
                </w:tcPr>
                <w:p w14:paraId="092B5251" w14:textId="77777777" w:rsidR="006725FB" w:rsidRPr="00C124F8" w:rsidRDefault="006725FB" w:rsidP="008343A9">
                  <w:pPr>
                    <w:jc w:val="center"/>
                    <w:rPr>
                      <w:rFonts w:ascii="Calibri" w:hAnsi="Calibri" w:cs="Arial"/>
                      <w:b/>
                      <w:i/>
                      <w:color w:val="1F497D" w:themeColor="text2"/>
                      <w:lang w:val="el-GR"/>
                    </w:rPr>
                  </w:pPr>
                  <w:r w:rsidRPr="00C124F8">
                    <w:rPr>
                      <w:rFonts w:ascii="Calibri" w:hAnsi="Calibri" w:cs="Arial"/>
                      <w:b/>
                      <w:i/>
                      <w:color w:val="1F497D" w:themeColor="text2"/>
                      <w:lang w:val="el-GR"/>
                    </w:rPr>
                    <w:t>125</w:t>
                  </w:r>
                </w:p>
              </w:tc>
            </w:tr>
          </w:tbl>
          <w:p w14:paraId="7FBD2D21" w14:textId="77777777" w:rsidR="006725FB" w:rsidRPr="00C124F8" w:rsidRDefault="006725FB" w:rsidP="00050B81">
            <w:pPr>
              <w:spacing w:after="0" w:line="240" w:lineRule="auto"/>
              <w:rPr>
                <w:rFonts w:ascii="Tahoma" w:eastAsia="Times New Roman" w:hAnsi="Tahoma" w:cs="Tahoma"/>
                <w:color w:val="1F497D" w:themeColor="text2"/>
                <w:lang w:val="en-US"/>
              </w:rPr>
            </w:pPr>
          </w:p>
        </w:tc>
      </w:tr>
      <w:tr w:rsidR="0020684A" w:rsidRPr="006C74B6" w14:paraId="3BF31A5F" w14:textId="77777777" w:rsidTr="00BF6D32">
        <w:tc>
          <w:tcPr>
            <w:tcW w:w="3306" w:type="dxa"/>
          </w:tcPr>
          <w:p w14:paraId="22F8CBF7" w14:textId="77777777" w:rsidR="006725FB" w:rsidRPr="006725FB" w:rsidRDefault="006725FB" w:rsidP="006725FB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6725FB">
              <w:rPr>
                <w:rFonts w:ascii="Calibri" w:eastAsia="Times New Roman" w:hAnsi="Calibri" w:cs="Arial"/>
                <w:b/>
                <w:sz w:val="20"/>
                <w:szCs w:val="20"/>
              </w:rPr>
              <w:t>STUDENTS EVALUATION</w:t>
            </w:r>
          </w:p>
          <w:p w14:paraId="3DB5984D" w14:textId="77777777" w:rsidR="0020684A" w:rsidRPr="00050B81" w:rsidRDefault="0020684A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7B44B1BC" w14:textId="77777777" w:rsidR="0020684A" w:rsidRPr="00C124F8" w:rsidRDefault="00BC0029" w:rsidP="00E65448">
            <w:pPr>
              <w:spacing w:after="0" w:line="240" w:lineRule="auto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Written final exams (10</w:t>
            </w:r>
            <w:r w:rsidR="006725FB"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0%) including:</w:t>
            </w:r>
          </w:p>
          <w:p w14:paraId="15637EE6" w14:textId="77777777" w:rsidR="00BC0029" w:rsidRPr="00C124F8" w:rsidRDefault="00BC0029" w:rsidP="00BC0029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Multiple choice questions</w:t>
            </w:r>
          </w:p>
          <w:p w14:paraId="2507EBF0" w14:textId="77777777" w:rsidR="0020684A" w:rsidRPr="00C124F8" w:rsidRDefault="00BC0029" w:rsidP="00BC0029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1F497D" w:themeColor="text2"/>
                <w:lang w:val="en-US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Solving problems</w:t>
            </w:r>
            <w:r w:rsidR="006725FB" w:rsidRPr="00C124F8">
              <w:rPr>
                <w:iCs/>
                <w:color w:val="1F497D" w:themeColor="text2"/>
                <w:lang w:val="en-US"/>
              </w:rPr>
              <w:t xml:space="preserve"> </w:t>
            </w:r>
          </w:p>
        </w:tc>
      </w:tr>
    </w:tbl>
    <w:p w14:paraId="78479396" w14:textId="77777777" w:rsidR="00050B81" w:rsidRPr="00050B81" w:rsidRDefault="006725F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 xml:space="preserve">BILBIOGRAPHY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4F76BF" w14:paraId="652EA1BF" w14:textId="77777777" w:rsidTr="00BF6D32">
        <w:tc>
          <w:tcPr>
            <w:tcW w:w="8472" w:type="dxa"/>
          </w:tcPr>
          <w:p w14:paraId="6CF5E2F7" w14:textId="77777777" w:rsidR="008D4C8C" w:rsidRPr="00C124F8" w:rsidRDefault="006725FB" w:rsidP="008D4C8C">
            <w:pPr>
              <w:spacing w:after="0"/>
              <w:rPr>
                <w:rFonts w:ascii="Calibri" w:hAnsi="Calibri" w:cs="Arial"/>
                <w:color w:val="1F497D" w:themeColor="text2"/>
                <w:sz w:val="20"/>
                <w:szCs w:val="20"/>
              </w:rPr>
            </w:pPr>
            <w:r w:rsidRPr="00C124F8">
              <w:rPr>
                <w:rFonts w:ascii="Calibri" w:hAnsi="Calibri" w:cs="Arial"/>
                <w:color w:val="1F497D" w:themeColor="text2"/>
                <w:sz w:val="20"/>
                <w:szCs w:val="20"/>
                <w:lang w:val="en-US"/>
              </w:rPr>
              <w:t>Suggested</w:t>
            </w:r>
            <w:r w:rsidR="008D4C8C" w:rsidRPr="00C124F8">
              <w:rPr>
                <w:rFonts w:ascii="Calibri" w:hAnsi="Calibri" w:cs="Arial"/>
                <w:color w:val="1F497D" w:themeColor="text2"/>
                <w:sz w:val="20"/>
                <w:szCs w:val="20"/>
              </w:rPr>
              <w:t>:</w:t>
            </w:r>
          </w:p>
          <w:p w14:paraId="38ADD14F" w14:textId="7C8DC92B" w:rsidR="00996152" w:rsidRPr="00C124F8" w:rsidRDefault="00996152" w:rsidP="004F76BF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Calibri" w:hAnsi="Calibri" w:cs="Arial"/>
                <w:bCs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rFonts w:ascii="Calibri" w:hAnsi="Calibri" w:cs="Arial"/>
                <w:bCs/>
                <w:color w:val="1F497D" w:themeColor="text2"/>
                <w:sz w:val="20"/>
                <w:szCs w:val="20"/>
                <w:lang w:val="en-US"/>
              </w:rPr>
              <w:t>Hull, J. C. (2017) Fundamentals of Futures and Options Markets. 9</w:t>
            </w:r>
            <w:r w:rsidRPr="00C124F8">
              <w:rPr>
                <w:rFonts w:ascii="Calibri" w:hAnsi="Calibri" w:cs="Arial"/>
                <w:bCs/>
                <w:color w:val="1F497D" w:themeColor="text2"/>
                <w:sz w:val="20"/>
                <w:szCs w:val="20"/>
                <w:vertAlign w:val="superscript"/>
                <w:lang w:val="en-US"/>
              </w:rPr>
              <w:t>th</w:t>
            </w:r>
            <w:r w:rsidRPr="00C124F8">
              <w:rPr>
                <w:rFonts w:ascii="Calibri" w:hAnsi="Calibri" w:cs="Arial"/>
                <w:bCs/>
                <w:color w:val="1F497D" w:themeColor="text2"/>
                <w:sz w:val="20"/>
                <w:szCs w:val="20"/>
                <w:lang w:val="en-US"/>
              </w:rPr>
              <w:t xml:space="preserve"> edition, Publisher: </w:t>
            </w:r>
            <w:proofErr w:type="spellStart"/>
            <w:r w:rsidR="00287A90" w:rsidRPr="00C124F8">
              <w:rPr>
                <w:rFonts w:ascii="Calibri" w:hAnsi="Calibri" w:cs="Arial"/>
                <w:bCs/>
                <w:color w:val="1F497D" w:themeColor="text2"/>
                <w:sz w:val="20"/>
                <w:szCs w:val="20"/>
                <w:lang w:val="en-US"/>
              </w:rPr>
              <w:t>K</w:t>
            </w:r>
            <w:r w:rsidRPr="00C124F8">
              <w:rPr>
                <w:rFonts w:ascii="Calibri" w:hAnsi="Calibri" w:cs="Arial"/>
                <w:bCs/>
                <w:color w:val="1F497D" w:themeColor="text2"/>
                <w:sz w:val="20"/>
                <w:szCs w:val="20"/>
                <w:lang w:val="en-US"/>
              </w:rPr>
              <w:t>lidarithmos</w:t>
            </w:r>
            <w:proofErr w:type="spellEnd"/>
            <w:r w:rsidRPr="00C124F8">
              <w:rPr>
                <w:rFonts w:ascii="Calibri" w:hAnsi="Calibri" w:cs="Arial"/>
                <w:bCs/>
                <w:color w:val="1F497D" w:themeColor="text2"/>
                <w:sz w:val="20"/>
                <w:szCs w:val="20"/>
                <w:lang w:val="en-US"/>
              </w:rPr>
              <w:t xml:space="preserve">. </w:t>
            </w:r>
          </w:p>
          <w:p w14:paraId="30111923" w14:textId="77A1EB3B" w:rsidR="00BC0029" w:rsidRPr="00C124F8" w:rsidRDefault="0040640F" w:rsidP="004F76BF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Calibri" w:hAnsi="Calibri" w:cs="Arial"/>
                <w:bCs/>
                <w:color w:val="1F497D" w:themeColor="text2"/>
                <w:sz w:val="20"/>
                <w:szCs w:val="20"/>
                <w:lang w:val="en-US"/>
              </w:rPr>
            </w:pPr>
            <w:proofErr w:type="spellStart"/>
            <w:r w:rsidRPr="00C124F8">
              <w:rPr>
                <w:rFonts w:ascii="Calibri" w:hAnsi="Calibri" w:cs="Arial"/>
                <w:bCs/>
                <w:color w:val="1F497D" w:themeColor="text2"/>
                <w:sz w:val="20"/>
                <w:szCs w:val="20"/>
                <w:lang w:val="en-US"/>
              </w:rPr>
              <w:t>Mylonas</w:t>
            </w:r>
            <w:proofErr w:type="spellEnd"/>
            <w:r w:rsidRPr="00C124F8">
              <w:rPr>
                <w:rFonts w:ascii="Calibri" w:hAnsi="Calibri" w:cs="Arial"/>
                <w:bCs/>
                <w:color w:val="1F497D" w:themeColor="text2"/>
                <w:sz w:val="20"/>
                <w:szCs w:val="20"/>
                <w:lang w:val="en-US"/>
              </w:rPr>
              <w:t xml:space="preserve">, N (2005) Derivative markets and products. Publisher: </w:t>
            </w:r>
            <w:proofErr w:type="spellStart"/>
            <w:r w:rsidR="00287A90" w:rsidRPr="00C124F8">
              <w:rPr>
                <w:rFonts w:ascii="Calibri" w:hAnsi="Calibri" w:cs="Arial"/>
                <w:bCs/>
                <w:color w:val="1F497D" w:themeColor="text2"/>
                <w:sz w:val="20"/>
                <w:szCs w:val="20"/>
                <w:lang w:val="en-US"/>
              </w:rPr>
              <w:t>D</w:t>
            </w:r>
            <w:r w:rsidRPr="00C124F8">
              <w:rPr>
                <w:rFonts w:ascii="Calibri" w:hAnsi="Calibri" w:cs="Arial"/>
                <w:bCs/>
                <w:color w:val="1F497D" w:themeColor="text2"/>
                <w:sz w:val="20"/>
                <w:szCs w:val="20"/>
                <w:lang w:val="en-US"/>
              </w:rPr>
              <w:t>ardanos</w:t>
            </w:r>
            <w:proofErr w:type="spellEnd"/>
          </w:p>
          <w:p w14:paraId="2517E765" w14:textId="6A3EFA5B" w:rsidR="008D4C8C" w:rsidRPr="00C124F8" w:rsidRDefault="008D4C8C" w:rsidP="009F2B5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Calibri" w:eastAsia="Times New Roman" w:hAnsi="Calibri" w:cs="Arial"/>
                <w:b/>
                <w:color w:val="1F497D" w:themeColor="text2"/>
                <w:sz w:val="20"/>
                <w:szCs w:val="20"/>
                <w:lang w:val="en-US"/>
              </w:rPr>
            </w:pPr>
          </w:p>
          <w:p w14:paraId="2114E62F" w14:textId="77777777" w:rsidR="008D4C8C" w:rsidRPr="00C124F8" w:rsidRDefault="006725FB" w:rsidP="00BC0029">
            <w:pPr>
              <w:spacing w:after="0"/>
              <w:rPr>
                <w:rFonts w:ascii="Calibri" w:hAnsi="Calibri" w:cs="Arial"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rFonts w:ascii="Calibri" w:hAnsi="Calibri" w:cs="Arial"/>
                <w:color w:val="1F497D" w:themeColor="text2"/>
                <w:sz w:val="20"/>
                <w:szCs w:val="20"/>
                <w:lang w:val="en-US"/>
              </w:rPr>
              <w:t>Scientific journals</w:t>
            </w:r>
            <w:r w:rsidR="008D4C8C" w:rsidRPr="00C124F8">
              <w:rPr>
                <w:rFonts w:ascii="Calibri" w:hAnsi="Calibri" w:cs="Arial"/>
                <w:color w:val="1F497D" w:themeColor="text2"/>
                <w:sz w:val="20"/>
                <w:szCs w:val="20"/>
                <w:lang w:val="en-US"/>
              </w:rPr>
              <w:t>:</w:t>
            </w:r>
          </w:p>
          <w:p w14:paraId="5E40E141" w14:textId="77777777" w:rsidR="004F76BF" w:rsidRPr="00C124F8" w:rsidRDefault="004F76BF" w:rsidP="004F76B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 xml:space="preserve">Journal of Commodity Markets </w:t>
            </w:r>
          </w:p>
          <w:p w14:paraId="7A0E739F" w14:textId="77777777" w:rsidR="004F76BF" w:rsidRPr="00C124F8" w:rsidRDefault="004F76BF" w:rsidP="004F76B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 xml:space="preserve">Journal of Futures Markets </w:t>
            </w:r>
          </w:p>
          <w:p w14:paraId="17768204" w14:textId="77777777" w:rsidR="004F76BF" w:rsidRPr="00C124F8" w:rsidRDefault="004F76BF" w:rsidP="004F76B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European Review of Agricultural Economics</w:t>
            </w:r>
          </w:p>
          <w:p w14:paraId="3866929E" w14:textId="77777777" w:rsidR="004F76BF" w:rsidRPr="00C124F8" w:rsidRDefault="004F76BF" w:rsidP="004F76B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Journal of Agricultural Economics</w:t>
            </w:r>
          </w:p>
          <w:p w14:paraId="521395F5" w14:textId="77777777" w:rsidR="004F76BF" w:rsidRPr="00C124F8" w:rsidRDefault="004F76BF" w:rsidP="004F76B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American Journal of Agricultural Economics</w:t>
            </w:r>
          </w:p>
          <w:p w14:paraId="546CBAAF" w14:textId="77777777" w:rsidR="004F76BF" w:rsidRPr="00C124F8" w:rsidRDefault="004F76BF" w:rsidP="004F76B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iCs/>
                <w:color w:val="1F497D" w:themeColor="text2"/>
                <w:sz w:val="20"/>
                <w:szCs w:val="20"/>
                <w:lang w:val="en-US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Agricultural Economics</w:t>
            </w:r>
          </w:p>
          <w:p w14:paraId="26FD7999" w14:textId="6A42ADE1" w:rsidR="00BC0029" w:rsidRPr="00BC0029" w:rsidRDefault="004F76BF" w:rsidP="004F76BF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Calibri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C124F8">
              <w:rPr>
                <w:iCs/>
                <w:color w:val="1F497D" w:themeColor="text2"/>
                <w:sz w:val="20"/>
                <w:szCs w:val="20"/>
                <w:lang w:val="en-US"/>
              </w:rPr>
              <w:t>Australian Journal of Agricultural and Resource Economics</w:t>
            </w:r>
          </w:p>
        </w:tc>
      </w:tr>
    </w:tbl>
    <w:p w14:paraId="48FFFAF2" w14:textId="77777777" w:rsidR="00050B81" w:rsidRPr="009F2B58" w:rsidRDefault="00050B81" w:rsidP="00050B8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4"/>
          <w:lang w:val="en-US"/>
        </w:rPr>
      </w:pPr>
    </w:p>
    <w:p w14:paraId="1F4AF899" w14:textId="77777777" w:rsidR="00050B81" w:rsidRPr="009F2B58" w:rsidRDefault="00050B81" w:rsidP="00050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2FC187" w14:textId="77777777" w:rsidR="00B66EDB" w:rsidRPr="009F2B58" w:rsidRDefault="00B66EDB">
      <w:pPr>
        <w:rPr>
          <w:lang w:val="en-US"/>
        </w:rPr>
      </w:pPr>
    </w:p>
    <w:sectPr w:rsidR="00B66EDB" w:rsidRPr="009F2B58" w:rsidSect="003548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B21"/>
    <w:multiLevelType w:val="hybridMultilevel"/>
    <w:tmpl w:val="F00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073C"/>
    <w:multiLevelType w:val="hybridMultilevel"/>
    <w:tmpl w:val="6452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5CDC"/>
    <w:multiLevelType w:val="hybridMultilevel"/>
    <w:tmpl w:val="690C885E"/>
    <w:lvl w:ilvl="0" w:tplc="BF524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7F2ADB"/>
    <w:multiLevelType w:val="hybridMultilevel"/>
    <w:tmpl w:val="A0D807D0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B7D4D"/>
    <w:multiLevelType w:val="hybridMultilevel"/>
    <w:tmpl w:val="A336F4F8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F2F39"/>
    <w:multiLevelType w:val="hybridMultilevel"/>
    <w:tmpl w:val="8DDA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81D9B"/>
    <w:multiLevelType w:val="hybridMultilevel"/>
    <w:tmpl w:val="05E0B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7426A"/>
    <w:multiLevelType w:val="hybridMultilevel"/>
    <w:tmpl w:val="444207BA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95887"/>
    <w:multiLevelType w:val="hybridMultilevel"/>
    <w:tmpl w:val="E11C8EF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5143381"/>
    <w:multiLevelType w:val="hybridMultilevel"/>
    <w:tmpl w:val="2FE00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146C4"/>
    <w:multiLevelType w:val="hybridMultilevel"/>
    <w:tmpl w:val="428E95C4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A7D57"/>
    <w:multiLevelType w:val="hybridMultilevel"/>
    <w:tmpl w:val="74043CE0"/>
    <w:lvl w:ilvl="0" w:tplc="2ADEC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FC65CD9"/>
    <w:multiLevelType w:val="hybridMultilevel"/>
    <w:tmpl w:val="CA84CE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F5244A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F76FF"/>
    <w:multiLevelType w:val="hybridMultilevel"/>
    <w:tmpl w:val="DB7014EA"/>
    <w:lvl w:ilvl="0" w:tplc="BF524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3"/>
  </w:num>
  <w:num w:numId="4">
    <w:abstractNumId w:val="14"/>
  </w:num>
  <w:num w:numId="5">
    <w:abstractNumId w:val="14"/>
    <w:lvlOverride w:ilvl="0">
      <w:lvl w:ilvl="0" w:tplc="0409001B">
        <w:start w:val="1"/>
        <w:numFmt w:val="low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BF5244A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15"/>
  </w:num>
  <w:num w:numId="15">
    <w:abstractNumId w:val="10"/>
  </w:num>
  <w:num w:numId="16">
    <w:abstractNumId w:val="9"/>
  </w:num>
  <w:num w:numId="17">
    <w:abstractNumId w:val="12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50B81"/>
    <w:rsid w:val="000C4C3C"/>
    <w:rsid w:val="000D793E"/>
    <w:rsid w:val="000F1E0B"/>
    <w:rsid w:val="001A2E2E"/>
    <w:rsid w:val="001A3F9B"/>
    <w:rsid w:val="001C6016"/>
    <w:rsid w:val="001D341B"/>
    <w:rsid w:val="001D7055"/>
    <w:rsid w:val="0020684A"/>
    <w:rsid w:val="002246F5"/>
    <w:rsid w:val="002743E3"/>
    <w:rsid w:val="00275CDB"/>
    <w:rsid w:val="00287A90"/>
    <w:rsid w:val="003548B3"/>
    <w:rsid w:val="003966D9"/>
    <w:rsid w:val="003B45BC"/>
    <w:rsid w:val="0040640F"/>
    <w:rsid w:val="004D4631"/>
    <w:rsid w:val="004E03E3"/>
    <w:rsid w:val="004F76BF"/>
    <w:rsid w:val="00505301"/>
    <w:rsid w:val="00512283"/>
    <w:rsid w:val="00570308"/>
    <w:rsid w:val="005B41BC"/>
    <w:rsid w:val="005E094A"/>
    <w:rsid w:val="00611AF9"/>
    <w:rsid w:val="006151C0"/>
    <w:rsid w:val="006725FB"/>
    <w:rsid w:val="006C1EDF"/>
    <w:rsid w:val="006C4731"/>
    <w:rsid w:val="006C74B6"/>
    <w:rsid w:val="007144D5"/>
    <w:rsid w:val="00726337"/>
    <w:rsid w:val="00737BF3"/>
    <w:rsid w:val="008149C3"/>
    <w:rsid w:val="008343A9"/>
    <w:rsid w:val="00881210"/>
    <w:rsid w:val="008D1BD9"/>
    <w:rsid w:val="008D4C8C"/>
    <w:rsid w:val="00906BD3"/>
    <w:rsid w:val="00907017"/>
    <w:rsid w:val="00974C95"/>
    <w:rsid w:val="0098621B"/>
    <w:rsid w:val="00996152"/>
    <w:rsid w:val="009C4213"/>
    <w:rsid w:val="009F2B58"/>
    <w:rsid w:val="00A33000"/>
    <w:rsid w:val="00A45BD0"/>
    <w:rsid w:val="00A82CE2"/>
    <w:rsid w:val="00AA2391"/>
    <w:rsid w:val="00AD5817"/>
    <w:rsid w:val="00B25922"/>
    <w:rsid w:val="00B425BF"/>
    <w:rsid w:val="00B66EDB"/>
    <w:rsid w:val="00BB5C14"/>
    <w:rsid w:val="00BC0029"/>
    <w:rsid w:val="00C124F8"/>
    <w:rsid w:val="00CC71E8"/>
    <w:rsid w:val="00CC7544"/>
    <w:rsid w:val="00D77545"/>
    <w:rsid w:val="00D94F8C"/>
    <w:rsid w:val="00DB2331"/>
    <w:rsid w:val="00DC6A5A"/>
    <w:rsid w:val="00E53803"/>
    <w:rsid w:val="00EA1E0D"/>
    <w:rsid w:val="00EB1E49"/>
    <w:rsid w:val="00F30B12"/>
    <w:rsid w:val="00F840AB"/>
    <w:rsid w:val="00F91CA6"/>
    <w:rsid w:val="00FA4027"/>
    <w:rsid w:val="00FD75C7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AA4C"/>
  <w15:docId w15:val="{916A7E9E-CA0F-455F-AE76-BC71FBD8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B3"/>
  </w:style>
  <w:style w:type="paragraph" w:styleId="Heading2">
    <w:name w:val="heading 2"/>
    <w:basedOn w:val="Normal"/>
    <w:next w:val="Normal"/>
    <w:link w:val="Heading2Char"/>
    <w:uiPriority w:val="99"/>
    <w:qFormat/>
    <w:rsid w:val="00CC7544"/>
    <w:pPr>
      <w:keepNext/>
      <w:tabs>
        <w:tab w:val="left" w:pos="425"/>
      </w:tabs>
      <w:spacing w:after="0" w:line="240" w:lineRule="auto"/>
      <w:jc w:val="both"/>
      <w:outlineLvl w:val="1"/>
    </w:pPr>
    <w:rPr>
      <w:rFonts w:ascii="Calibri" w:eastAsia="Times New Roman" w:hAnsi="Calibri" w:cs="Times New Roman"/>
      <w:b/>
      <w:b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3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C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CC7544"/>
    <w:rPr>
      <w:rFonts w:ascii="Calibri" w:eastAsia="Times New Roman" w:hAnsi="Calibri" w:cs="Times New Roman"/>
      <w:b/>
      <w:b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iasrv.aua.gr/eclass/courses/42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0CA6F-A953-4D48-BB84-E2A82C60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2026-02-20T11:44:00Z</dcterms:created>
  <dcterms:modified xsi:type="dcterms:W3CDTF">2026-02-20T11:44:00Z</dcterms:modified>
</cp:coreProperties>
</file>