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1304" w14:textId="77777777" w:rsidR="006151C0" w:rsidRPr="00C20232" w:rsidRDefault="006151C0" w:rsidP="003809BC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14:paraId="4D2B4C48" w14:textId="77777777" w:rsidR="006151C0" w:rsidRPr="00050B81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2"/>
        <w:gridCol w:w="1118"/>
        <w:gridCol w:w="1275"/>
        <w:gridCol w:w="1200"/>
        <w:gridCol w:w="342"/>
        <w:gridCol w:w="1219"/>
      </w:tblGrid>
      <w:tr w:rsidR="006151C0" w:rsidRPr="00881210" w14:paraId="3DA30126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111A391B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360D7735" w14:textId="579D6FA6" w:rsidR="006151C0" w:rsidRPr="00CC7544" w:rsidRDefault="00C151CF" w:rsidP="00B461F3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 xml:space="preserve">SCHOOL OF </w:t>
            </w:r>
            <w:r w:rsidR="00B461F3"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>PLANT</w:t>
            </w:r>
            <w:r w:rsidR="00AA2391" w:rsidRPr="00CC7544"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 xml:space="preserve"> SCIENCES</w:t>
            </w:r>
          </w:p>
        </w:tc>
      </w:tr>
      <w:tr w:rsidR="006151C0" w:rsidRPr="00050B81" w14:paraId="333A6CB0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316FE0ED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2C14C0EF" w14:textId="10DB8777" w:rsidR="006151C0" w:rsidRPr="00CC7544" w:rsidRDefault="00C151CF" w:rsidP="003809BC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 xml:space="preserve">DEPARTMENT </w:t>
            </w:r>
            <w:r w:rsidR="00B461F3"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>OF CROP SCIENCE</w:t>
            </w:r>
          </w:p>
        </w:tc>
      </w:tr>
      <w:tr w:rsidR="006151C0" w:rsidRPr="00050B81" w14:paraId="34D09665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636869F0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14:paraId="37B4F966" w14:textId="77777777" w:rsidR="006151C0" w:rsidRPr="00CC7544" w:rsidRDefault="006151C0" w:rsidP="003809BC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  <w:r w:rsidRPr="00CC7544">
              <w:rPr>
                <w:rFonts w:eastAsia="Times New Roman" w:cstheme="minorHAnsi"/>
                <w:i/>
                <w:sz w:val="20"/>
                <w:szCs w:val="20"/>
              </w:rPr>
              <w:t>Undergraduate</w:t>
            </w:r>
          </w:p>
        </w:tc>
      </w:tr>
      <w:tr w:rsidR="006151C0" w:rsidRPr="00050B81" w14:paraId="2CAD85E2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41268073" w14:textId="77777777" w:rsidR="006151C0" w:rsidRPr="001A3F9B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7D1A9ADC" w14:textId="6BA849CE" w:rsidR="006151C0" w:rsidRPr="001D341B" w:rsidRDefault="00B461F3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F243E" w:themeColor="text2" w:themeShade="80"/>
                <w:sz w:val="20"/>
                <w:szCs w:val="20"/>
                <w:lang w:val="en-US"/>
              </w:rPr>
              <w:t>1850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14:paraId="00B3D706" w14:textId="77777777" w:rsidR="006151C0" w:rsidRPr="006151C0" w:rsidRDefault="006151C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14:paraId="0E4CA047" w14:textId="1A0E2624" w:rsidR="006151C0" w:rsidRPr="006C74B6" w:rsidRDefault="00DF156D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8</w:t>
            </w:r>
            <w:r w:rsidR="00881210" w:rsidRPr="00881210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  <w:r w:rsidR="0088121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6151C0" w:rsidRPr="00B461F3" w14:paraId="66F70DB4" w14:textId="77777777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14:paraId="17F5F606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51EC07E0" w14:textId="680C13AA" w:rsidR="006151C0" w:rsidRPr="006151C0" w:rsidRDefault="00B461F3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0F243E" w:themeColor="text2" w:themeShade="80"/>
                <w:sz w:val="20"/>
                <w:szCs w:val="20"/>
                <w:lang w:val="en-US"/>
              </w:rPr>
              <w:t>Plant Pathology</w:t>
            </w:r>
          </w:p>
        </w:tc>
      </w:tr>
      <w:tr w:rsidR="006151C0" w:rsidRPr="00050B81" w14:paraId="770158E1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14:paraId="2ED59526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52C795B7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14:paraId="4DC76F30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6151C0" w:rsidRPr="00050B81" w14:paraId="69111906" w14:textId="77777777" w:rsidTr="00BF6D32">
        <w:trPr>
          <w:trHeight w:val="194"/>
        </w:trPr>
        <w:tc>
          <w:tcPr>
            <w:tcW w:w="5637" w:type="dxa"/>
            <w:gridSpan w:val="3"/>
          </w:tcPr>
          <w:p w14:paraId="09BBA4C8" w14:textId="63CF56A1" w:rsidR="006151C0" w:rsidRPr="00726337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515A4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  <w:r w:rsidR="00B461F3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and Practicals </w:t>
            </w:r>
          </w:p>
        </w:tc>
        <w:tc>
          <w:tcPr>
            <w:tcW w:w="1559" w:type="dxa"/>
            <w:gridSpan w:val="2"/>
          </w:tcPr>
          <w:p w14:paraId="7EAD35A3" w14:textId="7FEDD973" w:rsidR="006151C0" w:rsidRPr="00B461F3" w:rsidRDefault="00B461F3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3+2</w:t>
            </w:r>
          </w:p>
        </w:tc>
        <w:tc>
          <w:tcPr>
            <w:tcW w:w="1240" w:type="dxa"/>
          </w:tcPr>
          <w:p w14:paraId="55EFBC21" w14:textId="77777777" w:rsidR="006151C0" w:rsidRPr="00F840AB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14:paraId="766C84AD" w14:textId="77777777" w:rsidTr="00BF6D32">
        <w:trPr>
          <w:trHeight w:val="194"/>
        </w:trPr>
        <w:tc>
          <w:tcPr>
            <w:tcW w:w="5637" w:type="dxa"/>
            <w:gridSpan w:val="3"/>
          </w:tcPr>
          <w:p w14:paraId="4FF9EF9E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26A6494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6A155FD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14:paraId="44F4D14D" w14:textId="77777777" w:rsidTr="00BF6D32">
        <w:trPr>
          <w:trHeight w:val="194"/>
        </w:trPr>
        <w:tc>
          <w:tcPr>
            <w:tcW w:w="5637" w:type="dxa"/>
            <w:gridSpan w:val="3"/>
          </w:tcPr>
          <w:p w14:paraId="3C2AE2C6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4A9E92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DB21C4F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6151C0" w:rsidRPr="00050B81" w14:paraId="54FC8FE2" w14:textId="77777777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14:paraId="7F0E3F33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14:paraId="609B8BA0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4A485BF5" w14:textId="77777777" w:rsidR="006151C0" w:rsidRPr="006151C0" w:rsidRDefault="00906BD3" w:rsidP="006C74B6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area</w:t>
            </w:r>
          </w:p>
        </w:tc>
      </w:tr>
      <w:tr w:rsidR="006151C0" w:rsidRPr="00050B81" w14:paraId="4A0F8472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7828AEAF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14:paraId="4BC26AC2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7C865FA0" w14:textId="77777777"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6151C0" w:rsidRPr="00050B81" w14:paraId="347EE549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5058E50D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7D58032E" w14:textId="77777777"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6151C0" w:rsidRPr="00050B81" w14:paraId="3594C3D4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032EF8D1" w14:textId="77777777" w:rsidR="006151C0" w:rsidRPr="00F77300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14:paraId="3C0C0E7E" w14:textId="51170594" w:rsidR="006151C0" w:rsidRPr="00515A4B" w:rsidRDefault="00ED4BA5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No</w:t>
            </w:r>
          </w:p>
        </w:tc>
      </w:tr>
      <w:tr w:rsidR="006C74B6" w:rsidRPr="00ED4BA5" w14:paraId="25D652CB" w14:textId="77777777" w:rsidTr="00ED4BA5">
        <w:tc>
          <w:tcPr>
            <w:tcW w:w="3205" w:type="dxa"/>
            <w:shd w:val="clear" w:color="auto" w:fill="DDD9C3" w:themeFill="background2" w:themeFillShade="E6"/>
          </w:tcPr>
          <w:p w14:paraId="27297482" w14:textId="77777777" w:rsidR="006C74B6" w:rsidRPr="00050B81" w:rsidRDefault="006C74B6" w:rsidP="006C74B6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  <w:shd w:val="clear" w:color="auto" w:fill="auto"/>
          </w:tcPr>
          <w:p w14:paraId="7C67668E" w14:textId="7871A052" w:rsidR="006C74B6" w:rsidRPr="00DF156D" w:rsidRDefault="009154E4" w:rsidP="00ED4BA5">
            <w:pP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hyperlink r:id="rId6" w:history="1">
              <w:r w:rsidR="00ED4BA5">
                <w:rPr>
                  <w:rStyle w:val="Hyperlink"/>
                  <w:sz w:val="20"/>
                  <w:szCs w:val="20"/>
                  <w:lang w:val="en-GB"/>
                </w:rPr>
                <w:t>not</w:t>
              </w:r>
            </w:hyperlink>
            <w:r w:rsidR="00ED4BA5">
              <w:rPr>
                <w:rStyle w:val="Hyperlink"/>
                <w:sz w:val="20"/>
                <w:szCs w:val="20"/>
                <w:lang w:val="en-GB"/>
              </w:rPr>
              <w:t xml:space="preserve"> available in english</w:t>
            </w:r>
          </w:p>
        </w:tc>
      </w:tr>
    </w:tbl>
    <w:p w14:paraId="2A32FD4E" w14:textId="77777777" w:rsidR="006151C0" w:rsidRPr="006151C0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151C0"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6151C0" w:rsidRPr="00050B81" w14:paraId="1E3A9A54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14:paraId="012C5EB9" w14:textId="77777777"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 Outcomes</w:t>
            </w:r>
          </w:p>
        </w:tc>
      </w:tr>
      <w:tr w:rsidR="001A3F9B" w:rsidRPr="00ED4BA5" w14:paraId="4898E464" w14:textId="77777777" w:rsidTr="00050B81">
        <w:tc>
          <w:tcPr>
            <w:tcW w:w="8472" w:type="dxa"/>
            <w:gridSpan w:val="2"/>
          </w:tcPr>
          <w:p w14:paraId="5F9A2ADA" w14:textId="1E120EBD" w:rsidR="00CC7544" w:rsidRPr="00C124F8" w:rsidRDefault="00CC7544" w:rsidP="00CC7544">
            <w:pPr>
              <w:spacing w:after="0" w:line="240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</w:pPr>
            <w:r w:rsidRPr="00C151CF">
              <w:rPr>
                <w:rFonts w:cstheme="minorHAnsi"/>
                <w:b/>
                <w:color w:val="1F497D" w:themeColor="text2"/>
                <w:sz w:val="20"/>
                <w:szCs w:val="20"/>
                <w:lang w:val="en-US"/>
              </w:rPr>
              <w:t>The course is the main introductory</w:t>
            </w: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course in the concepts of </w:t>
            </w:r>
            <w:r w:rsidR="00334DD8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plant diseases and their causal agents. </w:t>
            </w: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 </w:t>
            </w:r>
            <w:r w:rsidRPr="00C151CF">
              <w:rPr>
                <w:rFonts w:cstheme="minorHAnsi"/>
                <w:b/>
                <w:color w:val="1F497D" w:themeColor="text2"/>
                <w:sz w:val="20"/>
                <w:szCs w:val="20"/>
                <w:lang w:val="en-US"/>
              </w:rPr>
              <w:t>Upon successful completion of the course the student will be able to</w:t>
            </w: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:</w:t>
            </w:r>
          </w:p>
          <w:p w14:paraId="5C3A645A" w14:textId="5F3ECD78" w:rsidR="00334DD8" w:rsidRPr="00ED0E5E" w:rsidRDefault="00334DD8" w:rsidP="00ED0E5E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</w:pP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understand</w:t>
            </w:r>
            <w:r w:rsidR="00CC7544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the 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concept 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of 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a 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biotic 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or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abiotic 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plant disease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, 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and the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biotic 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(fungi, bacteria,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viruses, viroids, phytoplasmas) or abiotic (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abiotic factors/unfavorable environmental conditions)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causal agents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involved, respectively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.</w:t>
            </w:r>
          </w:p>
          <w:p w14:paraId="730F19B0" w14:textId="03BC12B8" w:rsidR="00334DD8" w:rsidRPr="00ED0E5E" w:rsidRDefault="00ED0E5E" w:rsidP="00ED0E5E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</w:pPr>
            <w:r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r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ecognize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symptoms and </w:t>
            </w:r>
            <w:r w:rsidR="001639C6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signs</w:t>
            </w:r>
            <w:r w:rsidR="00BF5FB7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of plant diseases</w:t>
            </w:r>
          </w:p>
          <w:p w14:paraId="136167DF" w14:textId="7DBF6C75" w:rsidR="00334DD8" w:rsidRPr="00ED0E5E" w:rsidRDefault="00334DD8" w:rsidP="00ED0E5E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</w:pP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understand the biology/reproduction of plant pathogens </w:t>
            </w:r>
            <w:r w:rsidR="00D970C1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(fungi, bacteria, viruses, viroids, phytoplasmas) 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and their interaction with the plants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during pathogenesis</w:t>
            </w:r>
            <w:r w:rsidR="00CF0E2C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</w:t>
            </w:r>
          </w:p>
          <w:p w14:paraId="68EFCBBE" w14:textId="77777777" w:rsidR="00CF0E2C" w:rsidRPr="003945F8" w:rsidRDefault="00CF0E2C" w:rsidP="00ED0E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</w:pPr>
            <w:r w:rsidRPr="003945F8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understand the spread of a transmissible plant disease and the factors affecting its epidemiology</w:t>
            </w:r>
          </w:p>
          <w:p w14:paraId="19F6478F" w14:textId="2AAFD80D" w:rsidR="00CF0E2C" w:rsidRPr="00ED0E5E" w:rsidRDefault="00CF0E2C" w:rsidP="00ED0E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</w:pP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understand the basic concept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s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of plant disease control depending 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on 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the causal agent</w:t>
            </w:r>
          </w:p>
          <w:p w14:paraId="07C9914F" w14:textId="27158B4F" w:rsidR="009646AA" w:rsidRPr="00ED0E5E" w:rsidRDefault="00CF0E2C" w:rsidP="00ED0E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</w:pP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understand the epidemiology and control of representative diseases </w:t>
            </w:r>
            <w:r w:rsidR="00ED0E5E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of vegetable and fruit tree crops</w:t>
            </w:r>
          </w:p>
          <w:p w14:paraId="278A4525" w14:textId="3F0E524A" w:rsidR="00B436E6" w:rsidRPr="00ED0E5E" w:rsidRDefault="00B436E6" w:rsidP="00ED0E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color w:val="2F5496"/>
                <w:sz w:val="20"/>
                <w:szCs w:val="20"/>
                <w:lang w:val="en-US"/>
              </w:rPr>
            </w:pP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acquire the skills to recognize the symptoms of major plant diseases of vegetable and fruit tree crops and </w:t>
            </w:r>
            <w:r w:rsid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diagnose the causal agent of the disease via 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the microscopic observation of the </w:t>
            </w:r>
            <w:r w:rsidR="001639C6"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signs</w:t>
            </w:r>
            <w:r w:rsidRPr="00ED0E5E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 xml:space="preserve"> of the main groups of Fungi and Oomycetes in order to design efficient control strategies. </w:t>
            </w:r>
          </w:p>
          <w:p w14:paraId="32A39506" w14:textId="35FB7D66" w:rsidR="009F2B58" w:rsidRPr="00ED0E5E" w:rsidRDefault="00B436E6" w:rsidP="00ED0E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eastAsia="Calibr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ED0E5E">
              <w:rPr>
                <w:color w:val="2F5496"/>
                <w:sz w:val="20"/>
                <w:szCs w:val="20"/>
                <w:lang w:val="en-US"/>
              </w:rPr>
              <w:t xml:space="preserve">Be updated on top issues related with plant diseases and plant pathogens. </w:t>
            </w:r>
          </w:p>
        </w:tc>
      </w:tr>
      <w:tr w:rsidR="00050B81" w:rsidRPr="00050B81" w14:paraId="121987E2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14:paraId="2C7EA8AC" w14:textId="77777777" w:rsidR="00050B81" w:rsidRPr="00275CDB" w:rsidRDefault="00275CD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General competences</w:t>
            </w:r>
          </w:p>
        </w:tc>
      </w:tr>
      <w:tr w:rsidR="0098621B" w:rsidRPr="00ED4BA5" w14:paraId="7D2C935A" w14:textId="77777777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73CA7F30" w14:textId="66057212" w:rsidR="0098621B" w:rsidRPr="003945F8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</w:pPr>
            <w:r w:rsidRPr="003945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r w:rsidRPr="003945F8"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  <w:t>Decision-making</w:t>
            </w:r>
          </w:p>
          <w:p w14:paraId="3A7E5397" w14:textId="6D444A09" w:rsidR="0098621B" w:rsidRPr="003945F8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</w:pPr>
            <w:r w:rsidRPr="003945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r w:rsidRPr="003945F8"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  <w:t>Individual/Independent work</w:t>
            </w:r>
          </w:p>
          <w:p w14:paraId="7FD3D8AE" w14:textId="64092508" w:rsidR="00B461F3" w:rsidRPr="003945F8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</w:pPr>
            <w:r w:rsidRPr="003945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r w:rsidRPr="003945F8"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  <w:t>Group/Team work</w:t>
            </w:r>
          </w:p>
        </w:tc>
      </w:tr>
    </w:tbl>
    <w:p w14:paraId="321DE58C" w14:textId="77777777" w:rsidR="00050B81" w:rsidRPr="00050B81" w:rsidRDefault="00275C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ED4BA5" w14:paraId="79E5CB2A" w14:textId="77777777" w:rsidTr="00BF6D32">
        <w:tc>
          <w:tcPr>
            <w:tcW w:w="8472" w:type="dxa"/>
          </w:tcPr>
          <w:p w14:paraId="2512835A" w14:textId="4D02AD40" w:rsidR="004D4774" w:rsidRPr="004D4774" w:rsidRDefault="004D4774" w:rsidP="004D4774">
            <w:pPr>
              <w:spacing w:after="0" w:line="240" w:lineRule="auto"/>
              <w:jc w:val="both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The object of the course 'Phytopathology' is to provide knowledge on a theoretical and practical level </w:t>
            </w:r>
            <w:r>
              <w:rPr>
                <w:color w:val="2F5496"/>
                <w:sz w:val="20"/>
                <w:szCs w:val="20"/>
                <w:lang w:val="en-US"/>
              </w:rPr>
              <w:t>about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plant diseases and their causes, the biology of the main phytopathogens and their interaction with plants, as well as the basic principles</w:t>
            </w:r>
            <w:r>
              <w:rPr>
                <w:color w:val="2F5496"/>
                <w:sz w:val="20"/>
                <w:szCs w:val="20"/>
                <w:lang w:val="en-US"/>
              </w:rPr>
              <w:t xml:space="preserve"> for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treatment of plant diseases.</w:t>
            </w:r>
          </w:p>
          <w:p w14:paraId="777650B7" w14:textId="77777777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b/>
                <w:color w:val="2F5496"/>
                <w:sz w:val="20"/>
                <w:szCs w:val="20"/>
                <w:lang w:val="en-US"/>
              </w:rPr>
              <w:t>Theory</w:t>
            </w:r>
          </w:p>
          <w:p w14:paraId="072F1167" w14:textId="5EA83E99" w:rsidR="00B461F3" w:rsidRPr="004D4774" w:rsidRDefault="00183A45" w:rsidP="004D477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183A45">
              <w:rPr>
                <w:color w:val="2F5496"/>
                <w:sz w:val="20"/>
                <w:szCs w:val="20"/>
                <w:lang w:val="en-US"/>
              </w:rPr>
              <w:t>The concept of plant disease</w:t>
            </w:r>
          </w:p>
          <w:p w14:paraId="31F24D04" w14:textId="47F45011" w:rsidR="00B461F3" w:rsidRPr="004D4774" w:rsidRDefault="00183A45" w:rsidP="00183A4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lastRenderedPageBreak/>
              <w:t>Symptoms and sings of plant diseases</w:t>
            </w:r>
          </w:p>
          <w:p w14:paraId="37814E3F" w14:textId="334D5E8B" w:rsidR="00B461F3" w:rsidRPr="004D4774" w:rsidRDefault="000338D2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Principles of fungal plant pathogens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 (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morphology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,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taxonomy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, </w:t>
            </w:r>
            <w:r w:rsidR="00702427" w:rsidRPr="004D4774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reproduction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, </w:t>
            </w:r>
            <w:r w:rsidR="00702427" w:rsidRPr="004D4774">
              <w:rPr>
                <w:color w:val="2F5496"/>
                <w:sz w:val="20"/>
                <w:szCs w:val="20"/>
                <w:lang w:val="en-US"/>
              </w:rPr>
              <w:t>pathogenesis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, </w:t>
            </w:r>
            <w:r w:rsidR="00702427" w:rsidRPr="004D4774">
              <w:rPr>
                <w:color w:val="2F5496"/>
                <w:sz w:val="20"/>
                <w:szCs w:val="20"/>
                <w:lang w:val="en-US"/>
              </w:rPr>
              <w:t>epidemiology, most important fungal plant pathogens and oomycetes and symptomatology of diseases caused)</w:t>
            </w:r>
          </w:p>
          <w:p w14:paraId="76A39EC6" w14:textId="001900B1" w:rsidR="00B461F3" w:rsidRPr="004D4774" w:rsidRDefault="00BF79C8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Principles of bacterial plant pathogens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 (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morphology, taxonomy, </w:t>
            </w:r>
            <w:r w:rsidRPr="004D4774">
              <w:rPr>
                <w:rFonts w:eastAsia="Calibri"/>
                <w:color w:val="2F5496"/>
                <w:sz w:val="20"/>
                <w:szCs w:val="20"/>
                <w:lang w:val="en-US" w:eastAsia="el-GR"/>
              </w:rPr>
              <w:t>reproduction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, pathogenesis, epidemiology, most important bacterial plant pathogens and symptomatology of diseases caused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>)</w:t>
            </w:r>
          </w:p>
          <w:p w14:paraId="7E0F149A" w14:textId="3C5B8A43" w:rsidR="00B461F3" w:rsidRPr="004D4774" w:rsidRDefault="00B57E11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Phytoplasmas and Spiroplasm</w:t>
            </w:r>
            <w:r w:rsidR="001D4B1C" w:rsidRPr="004D4774">
              <w:rPr>
                <w:color w:val="2F5496"/>
                <w:sz w:val="20"/>
                <w:szCs w:val="20"/>
                <w:lang w:val="en-US"/>
              </w:rPr>
              <w:t>a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s</w:t>
            </w:r>
          </w:p>
          <w:p w14:paraId="23964FC2" w14:textId="6B906CB2" w:rsidR="00B461F3" w:rsidRPr="004D4774" w:rsidRDefault="00B57E11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Principles of Plant Virology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 (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taxonomy, identification, replication and transmission of plant viruses and viroids, symptoms, pathogenesis, epidemiology and control of plant virus and viroid diseases) </w:t>
            </w:r>
          </w:p>
          <w:p w14:paraId="692FF785" w14:textId="59B7535F" w:rsidR="00B461F3" w:rsidRPr="004D4774" w:rsidRDefault="00AC3282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Abiotic plant diseases</w:t>
            </w:r>
          </w:p>
          <w:p w14:paraId="7037A698" w14:textId="344C8FA9" w:rsidR="00B461F3" w:rsidRPr="004D4774" w:rsidRDefault="00BF79C8" w:rsidP="004D477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Pathogenesis mechanisms of plant pathogens and plant defense mechanisms (</w:t>
            </w:r>
            <w:r w:rsidR="004D4774" w:rsidRPr="004D4774">
              <w:rPr>
                <w:color w:val="2F5496"/>
                <w:sz w:val="20"/>
                <w:szCs w:val="20"/>
                <w:lang w:val="en-US"/>
              </w:rPr>
              <w:t>passive and active defense mechanisms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, </w:t>
            </w:r>
            <w:r w:rsidR="004D4774" w:rsidRPr="004D4774">
              <w:rPr>
                <w:color w:val="2F5496"/>
                <w:sz w:val="20"/>
                <w:szCs w:val="20"/>
                <w:lang w:val="en-US"/>
              </w:rPr>
              <w:t>hypersensitive response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, </w:t>
            </w:r>
            <w:r w:rsidR="004D4774" w:rsidRPr="004D4774">
              <w:rPr>
                <w:color w:val="2F5496"/>
                <w:sz w:val="20"/>
                <w:szCs w:val="20"/>
                <w:lang w:val="en-US"/>
              </w:rPr>
              <w:t>induced and acquired systemic resistance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>)</w:t>
            </w:r>
          </w:p>
          <w:p w14:paraId="21FF0A09" w14:textId="5E694182" w:rsidR="00B461F3" w:rsidRPr="004D4774" w:rsidRDefault="004D4774" w:rsidP="004D477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Inherent immune system of plants 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>(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recognition of plant –pathogens, secretion of effectors, signal transduction and </w:t>
            </w:r>
            <w:r w:rsidR="00B461F3" w:rsidRPr="004D4774">
              <w:rPr>
                <w:color w:val="2F5496"/>
                <w:sz w:val="20"/>
                <w:szCs w:val="20"/>
              </w:rPr>
              <w:t>μεταγωγή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 </w:t>
            </w:r>
            <w:r w:rsidR="00B461F3" w:rsidRPr="004D4774">
              <w:rPr>
                <w:color w:val="2F5496"/>
                <w:sz w:val="20"/>
                <w:szCs w:val="20"/>
              </w:rPr>
              <w:t>σήματος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 xml:space="preserve">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and expression of endurance</w:t>
            </w:r>
            <w:r w:rsidR="00B461F3" w:rsidRPr="004D4774">
              <w:rPr>
                <w:color w:val="2F5496"/>
                <w:sz w:val="20"/>
                <w:szCs w:val="20"/>
                <w:lang w:val="en-US"/>
              </w:rPr>
              <w:t>)</w:t>
            </w:r>
          </w:p>
          <w:p w14:paraId="5030B5A3" w14:textId="0A09F7DD" w:rsidR="00B461F3" w:rsidRPr="004D4774" w:rsidRDefault="00593186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Principles</w:t>
            </w:r>
            <w:r w:rsidRPr="004D4774">
              <w:rPr>
                <w:color w:val="2F5496"/>
                <w:sz w:val="20"/>
                <w:szCs w:val="20"/>
              </w:rPr>
              <w:t xml:space="preserve">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of</w:t>
            </w:r>
            <w:r w:rsidRPr="004D4774">
              <w:rPr>
                <w:color w:val="2F5496"/>
                <w:sz w:val="20"/>
                <w:szCs w:val="20"/>
              </w:rPr>
              <w:t xml:space="preserve">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plant</w:t>
            </w:r>
            <w:r w:rsidRPr="004D4774">
              <w:rPr>
                <w:color w:val="2F5496"/>
                <w:sz w:val="20"/>
                <w:szCs w:val="20"/>
              </w:rPr>
              <w:t xml:space="preserve">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disease</w:t>
            </w:r>
            <w:r w:rsidRPr="004D4774">
              <w:rPr>
                <w:color w:val="2F5496"/>
                <w:sz w:val="20"/>
                <w:szCs w:val="20"/>
              </w:rPr>
              <w:t xml:space="preserve">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epidemiology</w:t>
            </w:r>
            <w:r w:rsidRPr="004D4774">
              <w:rPr>
                <w:color w:val="2F5496"/>
                <w:sz w:val="20"/>
                <w:szCs w:val="20"/>
              </w:rPr>
              <w:t xml:space="preserve"> </w:t>
            </w:r>
          </w:p>
          <w:p w14:paraId="77B51B28" w14:textId="1B869D98" w:rsidR="00B461F3" w:rsidRPr="004D4774" w:rsidRDefault="00C731B3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</w:rPr>
            </w:pPr>
            <w:r w:rsidRPr="004D4774">
              <w:rPr>
                <w:color w:val="2F5496"/>
                <w:sz w:val="20"/>
                <w:szCs w:val="20"/>
              </w:rPr>
              <w:t>Principles of plant disease diagnosis</w:t>
            </w:r>
            <w:r w:rsidR="00B461F3" w:rsidRPr="004D4774">
              <w:rPr>
                <w:color w:val="2F5496"/>
                <w:sz w:val="20"/>
                <w:szCs w:val="20"/>
              </w:rPr>
              <w:t xml:space="preserve"> </w:t>
            </w:r>
          </w:p>
          <w:p w14:paraId="11BDACF1" w14:textId="77777777" w:rsidR="00C731B3" w:rsidRPr="00593186" w:rsidRDefault="00C731B3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color w:val="2F5496"/>
                <w:sz w:val="20"/>
                <w:szCs w:val="20"/>
              </w:rPr>
            </w:pPr>
            <w:r w:rsidRPr="00593186">
              <w:rPr>
                <w:color w:val="2F5496"/>
                <w:sz w:val="20"/>
                <w:szCs w:val="20"/>
              </w:rPr>
              <w:t xml:space="preserve">Principles of plant disease control </w:t>
            </w:r>
          </w:p>
          <w:p w14:paraId="06026859" w14:textId="1DE33E7D" w:rsidR="00050B81" w:rsidRPr="00593186" w:rsidRDefault="00C731B3" w:rsidP="00C731B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Arial"/>
                <w:color w:val="FF0000"/>
                <w:sz w:val="20"/>
                <w:szCs w:val="20"/>
                <w:lang w:val="en-US" w:eastAsia="el-GR"/>
              </w:rPr>
            </w:pPr>
            <w:r w:rsidRPr="000338D2">
              <w:rPr>
                <w:color w:val="2F5496"/>
                <w:sz w:val="20"/>
                <w:szCs w:val="20"/>
                <w:lang w:val="en-US"/>
              </w:rPr>
              <w:t>Representative plant diseases of major crops</w:t>
            </w:r>
          </w:p>
          <w:p w14:paraId="31E11182" w14:textId="77777777" w:rsidR="00593186" w:rsidRPr="00593186" w:rsidRDefault="00593186" w:rsidP="00593186">
            <w:pPr>
              <w:spacing w:after="0" w:line="240" w:lineRule="auto"/>
              <w:ind w:left="360"/>
              <w:rPr>
                <w:rFonts w:cs="Arial"/>
                <w:color w:val="FF0000"/>
                <w:sz w:val="20"/>
                <w:szCs w:val="20"/>
                <w:lang w:val="en-US" w:eastAsia="el-GR"/>
              </w:rPr>
            </w:pPr>
          </w:p>
          <w:p w14:paraId="16E61994" w14:textId="77777777" w:rsidR="004D4774" w:rsidRPr="004D4774" w:rsidRDefault="004D4774" w:rsidP="004D4774">
            <w:pPr>
              <w:spacing w:after="0" w:line="240" w:lineRule="auto"/>
              <w:rPr>
                <w:b/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b/>
                <w:color w:val="2F5496"/>
                <w:sz w:val="20"/>
                <w:szCs w:val="20"/>
                <w:lang w:val="en-US"/>
              </w:rPr>
              <w:t>Laboratory</w:t>
            </w:r>
          </w:p>
          <w:p w14:paraId="14700920" w14:textId="4385EF75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The purpose of the laboratory is to provide knowledge </w:t>
            </w:r>
            <w:r>
              <w:rPr>
                <w:color w:val="2F5496"/>
                <w:sz w:val="20"/>
                <w:szCs w:val="20"/>
                <w:lang w:val="en-US"/>
              </w:rPr>
              <w:t xml:space="preserve">on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the identification of plant diseases and the d</w:t>
            </w:r>
            <w:r>
              <w:rPr>
                <w:color w:val="2F5496"/>
                <w:sz w:val="20"/>
                <w:szCs w:val="20"/>
                <w:lang w:val="en-US"/>
              </w:rPr>
              <w:t>iagnostic process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.</w:t>
            </w:r>
          </w:p>
          <w:p w14:paraId="291AD99B" w14:textId="7B505591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Students are trained in the basic principles </w:t>
            </w:r>
            <w:r>
              <w:rPr>
                <w:color w:val="2F5496"/>
                <w:sz w:val="20"/>
                <w:szCs w:val="20"/>
                <w:lang w:val="en-US"/>
              </w:rPr>
              <w:t>for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study</w:t>
            </w:r>
            <w:r>
              <w:rPr>
                <w:color w:val="2F5496"/>
                <w:sz w:val="20"/>
                <w:szCs w:val="20"/>
                <w:lang w:val="en-US"/>
              </w:rPr>
              <w:t>ing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plant pathogens, stereoscopic and microscopic observation, identification and classification of the main phytopathogenic fungi, </w:t>
            </w:r>
            <w:r>
              <w:rPr>
                <w:color w:val="2F5496"/>
                <w:sz w:val="20"/>
                <w:szCs w:val="20"/>
                <w:lang w:val="en-US"/>
              </w:rPr>
              <w:t xml:space="preserve">oomycetes and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bacteria. Students are trained in the distinction and recognition of symptoms, signs of important plant diseases (downy mildew, </w:t>
            </w:r>
            <w:r>
              <w:rPr>
                <w:color w:val="2F5496"/>
                <w:sz w:val="20"/>
                <w:szCs w:val="20"/>
                <w:lang w:val="en-US"/>
              </w:rPr>
              <w:t xml:space="preserve">powdery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mildew, rust, </w:t>
            </w:r>
            <w:r>
              <w:rPr>
                <w:color w:val="2F5496"/>
                <w:sz w:val="20"/>
                <w:szCs w:val="20"/>
                <w:lang w:val="en-US"/>
              </w:rPr>
              <w:t>anthracnose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, </w:t>
            </w:r>
            <w:r>
              <w:rPr>
                <w:color w:val="2F5496"/>
                <w:sz w:val="20"/>
                <w:szCs w:val="20"/>
                <w:lang w:val="en-US"/>
              </w:rPr>
              <w:t>wilt disease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, etc.). In addition, they perform bioassays for viruses and viral diseases.</w:t>
            </w:r>
          </w:p>
          <w:p w14:paraId="061AE601" w14:textId="77777777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The thematic units in the form of laboratory exercises concern:</w:t>
            </w:r>
          </w:p>
          <w:p w14:paraId="50F66DE8" w14:textId="60FFB652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- FUNGI: Mycelial structures - Reproduction - Classification (macroscopic observation of sclerotia, microscopic observation of </w:t>
            </w:r>
            <w:r>
              <w:rPr>
                <w:color w:val="2F5496"/>
                <w:sz w:val="20"/>
                <w:szCs w:val="20"/>
                <w:lang w:val="en-US"/>
              </w:rPr>
              <w:t>non-septate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and multicellular mycelium,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 xml:space="preserve">septa, sporangia, </w:t>
            </w:r>
            <w:r w:rsidR="007C6D03" w:rsidRPr="007C6D03">
              <w:rPr>
                <w:color w:val="2F5496"/>
                <w:sz w:val="20"/>
                <w:szCs w:val="20"/>
                <w:lang w:val="en-US"/>
              </w:rPr>
              <w:t>rhizoids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)</w:t>
            </w:r>
          </w:p>
          <w:p w14:paraId="18E34A4E" w14:textId="68C306CD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- CHROMISTA (CHROMISTA) Home: Pythiaceae (macroscopic observation of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oomycetes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cultures, microscopic observation of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mycelium, zoosporiangia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, oospores)</w:t>
            </w:r>
          </w:p>
          <w:p w14:paraId="62A650D3" w14:textId="25093F1B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- CHROMISTA: Household: Peronosporaceae (observation of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spots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and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 xml:space="preserve"> mycelial signs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in diseased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plant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samples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, microscopic </w:t>
            </w:r>
            <w:r w:rsidR="007C6D03" w:rsidRPr="004D4774">
              <w:rPr>
                <w:color w:val="2F5496"/>
                <w:sz w:val="20"/>
                <w:szCs w:val="20"/>
                <w:lang w:val="en-US"/>
              </w:rPr>
              <w:t xml:space="preserve">observation of 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sporangia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phores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)</w:t>
            </w:r>
          </w:p>
          <w:p w14:paraId="21779B3A" w14:textId="0D163FF5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- FUNGI (FUNGI): ASCOMYCOTA (</w:t>
            </w:r>
            <w:r w:rsidR="007C6D03" w:rsidRPr="004D4774">
              <w:rPr>
                <w:color w:val="2F5496"/>
                <w:sz w:val="20"/>
                <w:szCs w:val="20"/>
                <w:lang w:val="en-US"/>
              </w:rPr>
              <w:t xml:space="preserve">observation of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spots</w:t>
            </w:r>
            <w:r w:rsidR="007C6D03" w:rsidRPr="004D4774">
              <w:rPr>
                <w:color w:val="2F5496"/>
                <w:sz w:val="20"/>
                <w:szCs w:val="20"/>
                <w:lang w:val="en-US"/>
              </w:rPr>
              <w:t xml:space="preserve"> and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 xml:space="preserve"> signs</w:t>
            </w:r>
            <w:r w:rsidR="007C6D03" w:rsidRPr="004D4774">
              <w:rPr>
                <w:color w:val="2F5496"/>
                <w:sz w:val="20"/>
                <w:szCs w:val="20"/>
                <w:lang w:val="en-US"/>
              </w:rPr>
              <w:t xml:space="preserve">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in diseased</w:t>
            </w:r>
            <w:r w:rsidR="007C6D03" w:rsidRPr="004D4774">
              <w:rPr>
                <w:color w:val="2F5496"/>
                <w:sz w:val="20"/>
                <w:szCs w:val="20"/>
                <w:lang w:val="en-US"/>
              </w:rPr>
              <w:t xml:space="preserve"> plant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samples</w:t>
            </w:r>
            <w:r w:rsidR="007C6D03" w:rsidRPr="004D4774">
              <w:rPr>
                <w:color w:val="2F5496"/>
                <w:sz w:val="20"/>
                <w:szCs w:val="20"/>
                <w:lang w:val="en-US"/>
              </w:rPr>
              <w:t xml:space="preserve">, microscopic observation of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cleistothecia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)</w:t>
            </w:r>
          </w:p>
          <w:p w14:paraId="048ABB1E" w14:textId="2F109D7B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- FUNGI (FUNGI): BASIDIOMYCOTA (observation of blisters and rust in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 xml:space="preserve"> diseased</w:t>
            </w:r>
            <w:r w:rsidR="007C6D03" w:rsidRPr="004D4774">
              <w:rPr>
                <w:color w:val="2F5496"/>
                <w:sz w:val="20"/>
                <w:szCs w:val="20"/>
                <w:lang w:val="en-US"/>
              </w:rPr>
              <w:t xml:space="preserve"> plant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samples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, microscopic observation of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telio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spores)</w:t>
            </w:r>
          </w:p>
          <w:p w14:paraId="59392678" w14:textId="6CC75ABA" w:rsidR="004D4774" w:rsidRPr="00ED4BA5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-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ADELOMYCETES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or IMPERFECT FUNGI Deuteromycete</w:t>
            </w:r>
            <w:r w:rsidRPr="00ED4BA5">
              <w:rPr>
                <w:color w:val="2F5496"/>
                <w:sz w:val="20"/>
                <w:szCs w:val="20"/>
                <w:lang w:val="en-US"/>
              </w:rPr>
              <w:t>s- Mitosporic fungi- Fungi imperfecti</w:t>
            </w:r>
            <w:r w:rsidR="007C6D03" w:rsidRPr="00ED4BA5">
              <w:rPr>
                <w:color w:val="2F5496"/>
                <w:sz w:val="20"/>
                <w:szCs w:val="20"/>
                <w:lang w:val="en-US"/>
              </w:rPr>
              <w:t xml:space="preserve"> (observation of spots and signs in diseased plant samples, microscopic observation of acervuli, conidia, conidiophores)</w:t>
            </w:r>
          </w:p>
          <w:p w14:paraId="0085A8C2" w14:textId="02C9C19E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ED4BA5">
              <w:rPr>
                <w:color w:val="2F5496"/>
                <w:sz w:val="20"/>
                <w:szCs w:val="20"/>
                <w:lang w:val="en-US"/>
              </w:rPr>
              <w:t>- PROKARYOTIC DISE</w:t>
            </w:r>
            <w:r w:rsidR="007C6D03" w:rsidRPr="00ED4BA5">
              <w:rPr>
                <w:color w:val="2F5496"/>
                <w:sz w:val="20"/>
                <w:szCs w:val="20"/>
                <w:lang w:val="en-US"/>
              </w:rPr>
              <w:t xml:space="preserve">ASES (observation of tumors </w:t>
            </w:r>
            <w:r w:rsidRPr="00ED4BA5">
              <w:rPr>
                <w:color w:val="2F5496"/>
                <w:sz w:val="20"/>
                <w:szCs w:val="20"/>
                <w:lang w:val="en-US"/>
              </w:rPr>
              <w:t xml:space="preserve">in </w:t>
            </w:r>
            <w:r w:rsidR="007C6D03" w:rsidRPr="00ED4BA5">
              <w:rPr>
                <w:color w:val="2F5496"/>
                <w:sz w:val="20"/>
                <w:szCs w:val="20"/>
                <w:lang w:val="en-US"/>
              </w:rPr>
              <w:t>diseased pl</w:t>
            </w:r>
            <w:r w:rsidR="007C6D03" w:rsidRPr="004D4774">
              <w:rPr>
                <w:color w:val="2F5496"/>
                <w:sz w:val="20"/>
                <w:szCs w:val="20"/>
                <w:lang w:val="en-US"/>
              </w:rPr>
              <w:t xml:space="preserve">ant 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samples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>)</w:t>
            </w:r>
          </w:p>
          <w:p w14:paraId="22A7C1D1" w14:textId="7B98A53C" w:rsidR="004D4774" w:rsidRPr="004D4774" w:rsidRDefault="004D4774" w:rsidP="004D4774">
            <w:pPr>
              <w:spacing w:after="0" w:line="240" w:lineRule="auto"/>
              <w:rPr>
                <w:color w:val="2F5496"/>
                <w:sz w:val="20"/>
                <w:szCs w:val="20"/>
                <w:lang w:val="en-US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- ΙΟΙ: Bioassays (m</w:t>
            </w:r>
            <w:r w:rsidR="007C6D03">
              <w:rPr>
                <w:color w:val="2F5496"/>
                <w:sz w:val="20"/>
                <w:szCs w:val="20"/>
                <w:lang w:val="en-US"/>
              </w:rPr>
              <w:t>echanical infections in plant</w:t>
            </w:r>
            <w:r w:rsidRPr="004D4774">
              <w:rPr>
                <w:color w:val="2F5496"/>
                <w:sz w:val="20"/>
                <w:szCs w:val="20"/>
                <w:lang w:val="en-US"/>
              </w:rPr>
              <w:t xml:space="preserve"> indicators)</w:t>
            </w:r>
          </w:p>
          <w:p w14:paraId="57F1FF8E" w14:textId="52B6E596" w:rsidR="00C731B3" w:rsidRPr="00C731B3" w:rsidRDefault="004D4774" w:rsidP="007C6D03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  <w:lang w:val="en-US" w:eastAsia="el-GR"/>
              </w:rPr>
            </w:pPr>
            <w:r w:rsidRPr="004D4774">
              <w:rPr>
                <w:color w:val="2F5496"/>
                <w:sz w:val="20"/>
                <w:szCs w:val="20"/>
                <w:lang w:val="en-US"/>
              </w:rPr>
              <w:t>- NON-PARASTIC DISEASES (observation of nutritional deficiencies in plant samples)</w:t>
            </w:r>
          </w:p>
        </w:tc>
      </w:tr>
    </w:tbl>
    <w:p w14:paraId="7FB00FA0" w14:textId="77777777" w:rsidR="006725FB" w:rsidRPr="00737BF3" w:rsidRDefault="006725FB" w:rsidP="006725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 w:rsidRPr="00737BF3">
        <w:rPr>
          <w:rFonts w:ascii="Calibri" w:eastAsia="Times New Roman" w:hAnsi="Calibri" w:cs="Arial"/>
          <w:b/>
          <w:color w:val="000000"/>
          <w:lang w:val="en-US"/>
        </w:rPr>
        <w:lastRenderedPageBreak/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725FB" w:rsidRPr="00050B81" w14:paraId="67A01DC4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054799E" w14:textId="77777777" w:rsidR="006725FB" w:rsidRPr="00050B81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63CA6C0D" w14:textId="77777777" w:rsidR="006725FB" w:rsidRPr="00C124F8" w:rsidRDefault="006725FB" w:rsidP="000931C2">
            <w:pPr>
              <w:rPr>
                <w:iCs/>
                <w:color w:val="1F497D" w:themeColor="text2"/>
                <w:sz w:val="20"/>
                <w:szCs w:val="20"/>
              </w:rPr>
            </w:pPr>
            <w:commentRangeStart w:id="1"/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In class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  <w:commentRangeEnd w:id="1"/>
            <w:r w:rsidR="007C6D03">
              <w:rPr>
                <w:rStyle w:val="CommentReference"/>
              </w:rPr>
              <w:commentReference w:id="1"/>
            </w:r>
          </w:p>
        </w:tc>
      </w:tr>
      <w:tr w:rsidR="006725FB" w:rsidRPr="00ED4BA5" w14:paraId="3DBC78B6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04A2C964" w14:textId="77777777" w:rsidR="006725FB" w:rsidRPr="00F77300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7414A4FE" w14:textId="25BB638F" w:rsidR="006725FB" w:rsidRPr="00C151CF" w:rsidRDefault="00C151CF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  <w:iCs/>
                <w:color w:val="1F497D" w:themeColor="text2"/>
                <w:sz w:val="20"/>
                <w:szCs w:val="20"/>
              </w:rPr>
            </w:pPr>
            <w:r>
              <w:rPr>
                <w:iCs/>
                <w:color w:val="1F497D" w:themeColor="text2"/>
                <w:sz w:val="20"/>
                <w:szCs w:val="20"/>
                <w:lang w:val="en-US"/>
              </w:rPr>
              <w:t>E</w:t>
            </w:r>
            <w:r w:rsidR="006725FB" w:rsidRPr="00C151CF">
              <w:rPr>
                <w:iCs/>
                <w:color w:val="1F497D" w:themeColor="text2"/>
                <w:sz w:val="20"/>
                <w:szCs w:val="20"/>
              </w:rPr>
              <w:t>-</w:t>
            </w:r>
            <w:r w:rsidR="006725FB" w:rsidRPr="00C151CF">
              <w:rPr>
                <w:iCs/>
                <w:color w:val="1F497D" w:themeColor="text2"/>
                <w:sz w:val="20"/>
                <w:szCs w:val="20"/>
                <w:lang w:val="en-US"/>
              </w:rPr>
              <w:t>class platform</w:t>
            </w:r>
          </w:p>
          <w:p w14:paraId="570A8FCB" w14:textId="77777777" w:rsidR="006725FB" w:rsidRPr="00C151CF" w:rsidRDefault="006725FB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1F497D" w:themeColor="text2"/>
                <w:sz w:val="20"/>
                <w:szCs w:val="20"/>
              </w:rPr>
            </w:pPr>
            <w:r w:rsidRPr="00C151CF">
              <w:rPr>
                <w:iCs/>
                <w:color w:val="1F497D" w:themeColor="text2"/>
                <w:sz w:val="20"/>
                <w:szCs w:val="20"/>
                <w:lang w:val="en-US"/>
              </w:rPr>
              <w:t>Power</w:t>
            </w:r>
            <w:r w:rsidRPr="00C151CF">
              <w:rPr>
                <w:iCs/>
                <w:color w:val="1F497D" w:themeColor="text2"/>
                <w:sz w:val="20"/>
                <w:szCs w:val="20"/>
              </w:rPr>
              <w:t>-</w:t>
            </w:r>
            <w:r w:rsidRPr="00C151CF">
              <w:rPr>
                <w:iCs/>
                <w:color w:val="1F497D" w:themeColor="text2"/>
                <w:sz w:val="20"/>
                <w:szCs w:val="20"/>
                <w:lang w:val="en-US"/>
              </w:rPr>
              <w:t>Point</w:t>
            </w:r>
            <w:r w:rsidRPr="00C151CF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  <w:r w:rsidRPr="00C151CF">
              <w:rPr>
                <w:iCs/>
                <w:color w:val="1F497D" w:themeColor="text2"/>
                <w:sz w:val="20"/>
                <w:szCs w:val="20"/>
                <w:lang w:val="en-US"/>
              </w:rPr>
              <w:t>slides</w:t>
            </w:r>
            <w:r w:rsidRPr="00C151CF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32105EBF" w14:textId="77777777" w:rsidR="00C151CF" w:rsidRPr="00C151CF" w:rsidRDefault="00C151CF" w:rsidP="00C151C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1F497D" w:themeColor="text2"/>
                <w:sz w:val="20"/>
                <w:szCs w:val="20"/>
                <w:lang w:val="en-US"/>
              </w:rPr>
            </w:pPr>
            <w:r>
              <w:rPr>
                <w:iCs/>
                <w:color w:val="1F497D" w:themeColor="text2"/>
                <w:sz w:val="20"/>
                <w:szCs w:val="20"/>
                <w:lang w:val="en-US"/>
              </w:rPr>
              <w:t xml:space="preserve">Online databases </w:t>
            </w:r>
          </w:p>
          <w:p w14:paraId="4B3B51C3" w14:textId="53B77499" w:rsidR="00C151CF" w:rsidRPr="00C151CF" w:rsidRDefault="00C151CF" w:rsidP="00C151C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151CF">
              <w:rPr>
                <w:iCs/>
                <w:color w:val="1F497D" w:themeColor="text2"/>
                <w:sz w:val="20"/>
                <w:szCs w:val="20"/>
                <w:lang w:val="en-US"/>
              </w:rPr>
              <w:t xml:space="preserve">Communication with students using e-class </w:t>
            </w:r>
            <w:r w:rsidR="00ED0E5E">
              <w:rPr>
                <w:iCs/>
                <w:color w:val="1F497D" w:themeColor="text2"/>
                <w:sz w:val="20"/>
                <w:szCs w:val="20"/>
                <w:lang w:val="en-US"/>
              </w:rPr>
              <w:t xml:space="preserve">platform </w:t>
            </w:r>
            <w:r w:rsidRPr="00C151CF">
              <w:rPr>
                <w:iCs/>
                <w:color w:val="1F497D" w:themeColor="text2"/>
                <w:sz w:val="20"/>
                <w:szCs w:val="20"/>
                <w:lang w:val="en-US"/>
              </w:rPr>
              <w:t>and email</w:t>
            </w:r>
          </w:p>
        </w:tc>
      </w:tr>
      <w:tr w:rsidR="006725FB" w:rsidRPr="00050B81" w14:paraId="1779492C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026FB3EA" w14:textId="77777777" w:rsidR="006725FB" w:rsidRPr="003D76B9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D76B9"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TEACHING ORGANISATION</w:t>
            </w:r>
          </w:p>
          <w:p w14:paraId="1255CAAA" w14:textId="77777777" w:rsidR="006725FB" w:rsidRPr="00050B81" w:rsidRDefault="006725FB" w:rsidP="000931C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C124F8" w:rsidRPr="00C124F8" w14:paraId="1F321B18" w14:textId="77777777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14:paraId="004C8726" w14:textId="77777777" w:rsidR="006725FB" w:rsidRPr="00C124F8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</w:pPr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>Activity</w:t>
                  </w:r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14:paraId="12E96771" w14:textId="77777777" w:rsidR="006725FB" w:rsidRPr="00C124F8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</w:pPr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>Work Load</w:t>
                  </w:r>
                </w:p>
              </w:tc>
            </w:tr>
            <w:tr w:rsidR="00C124F8" w:rsidRPr="00C124F8" w14:paraId="75313470" w14:textId="77777777" w:rsidTr="00BF6D32">
              <w:tc>
                <w:tcPr>
                  <w:tcW w:w="2467" w:type="dxa"/>
                </w:tcPr>
                <w:p w14:paraId="60461CAC" w14:textId="77777777" w:rsidR="006725FB" w:rsidRPr="00C124F8" w:rsidRDefault="006725FB" w:rsidP="000931C2">
                  <w:pPr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14:paraId="7CC6E44C" w14:textId="3A62A25A" w:rsidR="006725FB" w:rsidRPr="00C124F8" w:rsidRDefault="00ED0E5E" w:rsidP="00050B81">
                  <w:pPr>
                    <w:jc w:val="center"/>
                    <w:rPr>
                      <w:rFonts w:ascii="Calibri" w:hAnsi="Calibri" w:cs="Arial"/>
                      <w:color w:val="1F497D" w:themeColor="text2"/>
                    </w:rPr>
                  </w:pPr>
                  <w:r>
                    <w:rPr>
                      <w:rFonts w:ascii="Calibri" w:hAnsi="Calibri" w:cs="Arial"/>
                      <w:color w:val="1F497D" w:themeColor="text2"/>
                    </w:rPr>
                    <w:t xml:space="preserve">13x3 = </w:t>
                  </w:r>
                  <w:r w:rsidR="00B461F3">
                    <w:rPr>
                      <w:rFonts w:ascii="Calibri" w:hAnsi="Calibri" w:cs="Arial"/>
                      <w:color w:val="1F497D" w:themeColor="text2"/>
                    </w:rPr>
                    <w:t>39 h</w:t>
                  </w:r>
                </w:p>
              </w:tc>
            </w:tr>
            <w:tr w:rsidR="00B461F3" w:rsidRPr="00C124F8" w14:paraId="77A019DD" w14:textId="77777777" w:rsidTr="00BF6D32">
              <w:tc>
                <w:tcPr>
                  <w:tcW w:w="2467" w:type="dxa"/>
                </w:tcPr>
                <w:p w14:paraId="2AA70426" w14:textId="7D45DA3A" w:rsidR="00B461F3" w:rsidRPr="00C124F8" w:rsidRDefault="00B461F3" w:rsidP="000931C2">
                  <w:pPr>
                    <w:rPr>
                      <w:rFonts w:ascii="Calibri" w:hAnsi="Calibri" w:cs="Arial"/>
                      <w:color w:val="1F497D" w:themeColor="text2"/>
                    </w:rPr>
                  </w:pPr>
                  <w:r>
                    <w:rPr>
                      <w:rFonts w:ascii="Calibri" w:hAnsi="Calibri" w:cs="Arial"/>
                      <w:color w:val="1F497D" w:themeColor="text2"/>
                    </w:rPr>
                    <w:t>Practicals</w:t>
                  </w:r>
                </w:p>
              </w:tc>
              <w:tc>
                <w:tcPr>
                  <w:tcW w:w="2468" w:type="dxa"/>
                </w:tcPr>
                <w:p w14:paraId="6456F920" w14:textId="134A4F42" w:rsidR="00B461F3" w:rsidRPr="00C124F8" w:rsidRDefault="00ED0E5E" w:rsidP="00050B81">
                  <w:pPr>
                    <w:jc w:val="center"/>
                    <w:rPr>
                      <w:rFonts w:ascii="Calibri" w:hAnsi="Calibri" w:cs="Arial"/>
                      <w:color w:val="1F497D" w:themeColor="text2"/>
                    </w:rPr>
                  </w:pPr>
                  <w:r>
                    <w:rPr>
                      <w:rFonts w:ascii="Calibri" w:hAnsi="Calibri" w:cs="Arial"/>
                      <w:color w:val="1F497D" w:themeColor="text2"/>
                    </w:rPr>
                    <w:t xml:space="preserve">10x2 = </w:t>
                  </w:r>
                  <w:r w:rsidR="00B461F3">
                    <w:rPr>
                      <w:rFonts w:ascii="Calibri" w:hAnsi="Calibri" w:cs="Arial"/>
                      <w:color w:val="1F497D" w:themeColor="text2"/>
                    </w:rPr>
                    <w:t>20 h</w:t>
                  </w:r>
                </w:p>
              </w:tc>
            </w:tr>
            <w:tr w:rsidR="00B461F3" w:rsidRPr="00C124F8" w14:paraId="4D8FC16E" w14:textId="77777777" w:rsidTr="00BF6D32">
              <w:tc>
                <w:tcPr>
                  <w:tcW w:w="2467" w:type="dxa"/>
                </w:tcPr>
                <w:p w14:paraId="59AA75C5" w14:textId="77777777" w:rsidR="00B461F3" w:rsidRPr="00C124F8" w:rsidRDefault="00B461F3" w:rsidP="000931C2">
                  <w:pPr>
                    <w:rPr>
                      <w:rFonts w:ascii="Calibri" w:hAnsi="Calibri" w:cs="Arial"/>
                      <w:color w:val="1F497D" w:themeColor="text2"/>
                    </w:rPr>
                  </w:pPr>
                </w:p>
              </w:tc>
              <w:tc>
                <w:tcPr>
                  <w:tcW w:w="2468" w:type="dxa"/>
                </w:tcPr>
                <w:p w14:paraId="7B74DEAE" w14:textId="77777777" w:rsidR="00B461F3" w:rsidRPr="00C124F8" w:rsidRDefault="00B461F3" w:rsidP="00050B81">
                  <w:pPr>
                    <w:jc w:val="center"/>
                    <w:rPr>
                      <w:rFonts w:ascii="Calibri" w:hAnsi="Calibri" w:cs="Arial"/>
                      <w:color w:val="1F497D" w:themeColor="text2"/>
                    </w:rPr>
                  </w:pPr>
                </w:p>
              </w:tc>
            </w:tr>
            <w:tr w:rsidR="00C124F8" w:rsidRPr="00C124F8" w14:paraId="1C536D45" w14:textId="77777777" w:rsidTr="00050B81">
              <w:tc>
                <w:tcPr>
                  <w:tcW w:w="2467" w:type="dxa"/>
                  <w:shd w:val="clear" w:color="auto" w:fill="auto"/>
                </w:tcPr>
                <w:p w14:paraId="7BB59E33" w14:textId="77777777" w:rsidR="006725FB" w:rsidRPr="00C124F8" w:rsidRDefault="006725FB" w:rsidP="000931C2">
                  <w:pPr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</w:rPr>
                    <w:t>Study at home</w:t>
                  </w:r>
                </w:p>
              </w:tc>
              <w:tc>
                <w:tcPr>
                  <w:tcW w:w="2468" w:type="dxa"/>
                </w:tcPr>
                <w:p w14:paraId="018311ED" w14:textId="441B212D" w:rsidR="006725FB" w:rsidRPr="00B461F3" w:rsidRDefault="00BC0029" w:rsidP="00B461F3">
                  <w:pPr>
                    <w:jc w:val="center"/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  <w:lang w:val="el-GR"/>
                    </w:rPr>
                    <w:t>6</w:t>
                  </w:r>
                  <w:r w:rsidR="00B461F3">
                    <w:rPr>
                      <w:rFonts w:ascii="Calibri" w:hAnsi="Calibri" w:cs="Arial"/>
                      <w:color w:val="1F497D" w:themeColor="text2"/>
                    </w:rPr>
                    <w:t>6  h</w:t>
                  </w:r>
                </w:p>
              </w:tc>
            </w:tr>
            <w:tr w:rsidR="00C124F8" w:rsidRPr="00C124F8" w14:paraId="036B6BF7" w14:textId="77777777" w:rsidTr="00050B81">
              <w:tc>
                <w:tcPr>
                  <w:tcW w:w="2467" w:type="dxa"/>
                  <w:shd w:val="clear" w:color="auto" w:fill="auto"/>
                </w:tcPr>
                <w:p w14:paraId="34170945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72CB7C46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C124F8" w:rsidRPr="00C124F8" w14:paraId="478DD55C" w14:textId="77777777" w:rsidTr="00050B81">
              <w:tc>
                <w:tcPr>
                  <w:tcW w:w="2467" w:type="dxa"/>
                  <w:shd w:val="clear" w:color="auto" w:fill="auto"/>
                </w:tcPr>
                <w:p w14:paraId="4B1990D0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2ED54A3D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C124F8" w:rsidRPr="00C124F8" w14:paraId="5E9E1ECE" w14:textId="77777777" w:rsidTr="00050B81">
              <w:tc>
                <w:tcPr>
                  <w:tcW w:w="2467" w:type="dxa"/>
                  <w:shd w:val="clear" w:color="auto" w:fill="auto"/>
                </w:tcPr>
                <w:p w14:paraId="273F040A" w14:textId="77777777" w:rsidR="006725FB" w:rsidRPr="00C124F8" w:rsidRDefault="006725FB" w:rsidP="008343A9">
                  <w:pPr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378AB067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</w:tr>
            <w:tr w:rsidR="00C124F8" w:rsidRPr="00C124F8" w14:paraId="5E01A253" w14:textId="77777777" w:rsidTr="00907017">
              <w:tc>
                <w:tcPr>
                  <w:tcW w:w="2467" w:type="dxa"/>
                </w:tcPr>
                <w:p w14:paraId="7310B84C" w14:textId="77777777" w:rsidR="006725FB" w:rsidRPr="00C124F8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  <w:t>Course total</w:t>
                  </w:r>
                </w:p>
                <w:p w14:paraId="637B384A" w14:textId="77777777" w:rsidR="006725FB" w:rsidRPr="00C124F8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14:paraId="092B5251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1F497D" w:themeColor="text2"/>
                      <w:lang w:val="el-GR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  <w:lang w:val="el-GR"/>
                    </w:rPr>
                    <w:t>125</w:t>
                  </w:r>
                </w:p>
              </w:tc>
            </w:tr>
          </w:tbl>
          <w:p w14:paraId="7FBD2D21" w14:textId="77777777" w:rsidR="006725FB" w:rsidRPr="00C124F8" w:rsidRDefault="006725FB" w:rsidP="00050B81">
            <w:pPr>
              <w:spacing w:after="0" w:line="240" w:lineRule="auto"/>
              <w:rPr>
                <w:rFonts w:ascii="Tahoma" w:eastAsia="Times New Roman" w:hAnsi="Tahoma" w:cs="Tahoma"/>
                <w:color w:val="1F497D" w:themeColor="text2"/>
                <w:lang w:val="en-US"/>
              </w:rPr>
            </w:pPr>
          </w:p>
        </w:tc>
      </w:tr>
      <w:tr w:rsidR="0020684A" w:rsidRPr="0098584C" w14:paraId="3BF31A5F" w14:textId="77777777" w:rsidTr="00BF6D32">
        <w:tc>
          <w:tcPr>
            <w:tcW w:w="3306" w:type="dxa"/>
          </w:tcPr>
          <w:p w14:paraId="22F8CBF7" w14:textId="77777777" w:rsidR="006725FB" w:rsidRPr="006725FB" w:rsidRDefault="006725FB" w:rsidP="006725F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725FB"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14:paraId="3DB5984D" w14:textId="77777777"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4538FE40" w14:textId="77777777" w:rsidR="003945F8" w:rsidRPr="0098584C" w:rsidRDefault="003945F8" w:rsidP="00E65448">
            <w:pPr>
              <w:spacing w:after="0" w:line="240" w:lineRule="auto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</w:p>
          <w:p w14:paraId="7B44B1BC" w14:textId="6DED8EB2" w:rsidR="0020684A" w:rsidRPr="0098584C" w:rsidRDefault="00BC0029" w:rsidP="00E65448">
            <w:pPr>
              <w:spacing w:after="0" w:line="240" w:lineRule="auto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>Written final exams (10</w:t>
            </w:r>
            <w:r w:rsidR="006725FB"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 xml:space="preserve">0%) </w:t>
            </w:r>
            <w:r w:rsidR="003945F8"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>in Greek (for the Greek students) or English (for the Erasmus students) including</w:t>
            </w:r>
            <w:r w:rsidR="0098584C">
              <w:rPr>
                <w:iCs/>
                <w:color w:val="1F497D" w:themeColor="text2"/>
                <w:sz w:val="20"/>
                <w:szCs w:val="20"/>
                <w:lang w:val="en-US"/>
              </w:rPr>
              <w:t>,</w:t>
            </w:r>
          </w:p>
          <w:p w14:paraId="7CC5F3F5" w14:textId="5E0029B8" w:rsidR="003945F8" w:rsidRPr="0098584C" w:rsidRDefault="0098584C" w:rsidP="00E65448">
            <w:pPr>
              <w:spacing w:after="0" w:line="240" w:lineRule="auto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>f</w:t>
            </w:r>
            <w:r w:rsidR="003945F8"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>or the theory</w:t>
            </w:r>
          </w:p>
          <w:p w14:paraId="4DB7F8BC" w14:textId="77777777" w:rsidR="003945F8" w:rsidRPr="0098584C" w:rsidRDefault="003945F8" w:rsidP="003945F8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>Multiple choice questions</w:t>
            </w:r>
          </w:p>
          <w:p w14:paraId="428E5BC4" w14:textId="4918A222" w:rsidR="00C151CF" w:rsidRPr="0098584C" w:rsidRDefault="003945F8" w:rsidP="003945F8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>Short answer questions</w:t>
            </w:r>
          </w:p>
          <w:p w14:paraId="5110DE79" w14:textId="5B83E4CE" w:rsidR="001571C4" w:rsidRPr="0098584C" w:rsidRDefault="0098584C" w:rsidP="0098584C">
            <w:pPr>
              <w:spacing w:after="0" w:line="240" w:lineRule="auto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>and f</w:t>
            </w:r>
            <w:r w:rsidR="001571C4" w:rsidRPr="0098584C">
              <w:rPr>
                <w:iCs/>
                <w:color w:val="1F497D" w:themeColor="text2"/>
                <w:sz w:val="20"/>
                <w:szCs w:val="20"/>
                <w:lang w:val="en-US"/>
              </w:rPr>
              <w:t>or the practicals</w:t>
            </w:r>
          </w:p>
          <w:p w14:paraId="2D002AE2" w14:textId="77777777" w:rsidR="001571C4" w:rsidRPr="001571C4" w:rsidRDefault="001571C4" w:rsidP="001571C4">
            <w:pPr>
              <w:numPr>
                <w:ilvl w:val="0"/>
                <w:numId w:val="24"/>
              </w:numPr>
              <w:tabs>
                <w:tab w:val="left" w:pos="954"/>
              </w:tabs>
              <w:spacing w:after="0" w:line="240" w:lineRule="auto"/>
              <w:jc w:val="both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1571C4">
              <w:rPr>
                <w:iCs/>
                <w:color w:val="1F497D" w:themeColor="text2"/>
                <w:sz w:val="20"/>
                <w:szCs w:val="20"/>
                <w:lang w:val="en-US"/>
              </w:rPr>
              <w:t>True/false questions</w:t>
            </w:r>
          </w:p>
          <w:p w14:paraId="6F4FB858" w14:textId="77777777" w:rsidR="0098584C" w:rsidRPr="0098584C" w:rsidRDefault="0098584C" w:rsidP="0098584C">
            <w:pPr>
              <w:numPr>
                <w:ilvl w:val="0"/>
                <w:numId w:val="24"/>
              </w:numPr>
              <w:tabs>
                <w:tab w:val="left" w:pos="954"/>
              </w:tabs>
              <w:spacing w:after="0" w:line="240" w:lineRule="auto"/>
              <w:jc w:val="both"/>
              <w:rPr>
                <w:iCs/>
                <w:color w:val="2F5496"/>
                <w:sz w:val="20"/>
                <w:szCs w:val="20"/>
                <w:lang w:val="en-US"/>
              </w:rPr>
            </w:pPr>
            <w:r>
              <w:rPr>
                <w:iCs/>
                <w:color w:val="1F497D" w:themeColor="text2"/>
                <w:sz w:val="20"/>
                <w:szCs w:val="20"/>
                <w:lang w:val="en-US"/>
              </w:rPr>
              <w:t>Identification of plant pathogens</w:t>
            </w:r>
            <w:r w:rsidR="00C151CF" w:rsidRPr="001571C4">
              <w:rPr>
                <w:iCs/>
                <w:color w:val="1F497D" w:themeColor="text2"/>
                <w:sz w:val="20"/>
                <w:szCs w:val="20"/>
                <w:lang w:val="en-US"/>
              </w:rPr>
              <w:t xml:space="preserve"> </w:t>
            </w:r>
          </w:p>
          <w:p w14:paraId="2507EBF0" w14:textId="605FEED8" w:rsidR="00C151CF" w:rsidRPr="0098584C" w:rsidRDefault="0098584C" w:rsidP="0098584C">
            <w:pPr>
              <w:numPr>
                <w:ilvl w:val="0"/>
                <w:numId w:val="24"/>
              </w:numPr>
              <w:tabs>
                <w:tab w:val="left" w:pos="954"/>
              </w:tabs>
              <w:spacing w:after="0" w:line="240" w:lineRule="auto"/>
              <w:jc w:val="both"/>
              <w:rPr>
                <w:iCs/>
                <w:color w:val="2F5496"/>
                <w:sz w:val="20"/>
                <w:szCs w:val="20"/>
                <w:lang w:val="en-US"/>
              </w:rPr>
            </w:pPr>
            <w:r>
              <w:rPr>
                <w:iCs/>
                <w:color w:val="2F5496"/>
                <w:sz w:val="20"/>
                <w:szCs w:val="20"/>
                <w:lang w:val="en-US"/>
              </w:rPr>
              <w:t>Indentification of plant diseases</w:t>
            </w:r>
            <w:r w:rsidR="00C151CF" w:rsidRPr="0098584C">
              <w:rPr>
                <w:iCs/>
                <w:color w:val="2F5496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8479396" w14:textId="77777777" w:rsidR="00050B81" w:rsidRPr="00050B81" w:rsidRDefault="006725F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 xml:space="preserve">BILBIOGRAPHY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ED4BA5" w14:paraId="652EA1BF" w14:textId="77777777" w:rsidTr="00BF6D32">
        <w:tc>
          <w:tcPr>
            <w:tcW w:w="8472" w:type="dxa"/>
          </w:tcPr>
          <w:p w14:paraId="38ADD14F" w14:textId="0B1F471C" w:rsidR="00996152" w:rsidRDefault="00ED0E5E" w:rsidP="00660FF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</w:pPr>
            <w:r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 xml:space="preserve">Theory: </w:t>
            </w:r>
            <w:r w:rsidR="00B203D8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ab/>
              <w:t>Tj</w:t>
            </w:r>
            <w:r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>amos</w:t>
            </w:r>
            <w:r w:rsidR="00996152"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 xml:space="preserve">, </w:t>
            </w:r>
            <w:r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>E. (200</w:t>
            </w:r>
            <w:r w:rsidR="00996152"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 xml:space="preserve">7) </w:t>
            </w:r>
            <w:r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>Plant Pathology.</w:t>
            </w:r>
            <w:r w:rsidR="00660FFB"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 xml:space="preserve"> Stamoulis Press. </w:t>
            </w:r>
          </w:p>
          <w:p w14:paraId="2403B982" w14:textId="7BF7A176" w:rsidR="00B203D8" w:rsidRPr="000E4E2E" w:rsidRDefault="00B203D8" w:rsidP="00660FF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ab/>
              <w:t xml:space="preserve">Agrios. G. (2005). Plant Pathology. 5th edition. </w:t>
            </w:r>
            <w:r w:rsidRPr="00B203D8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>Academic Press</w:t>
            </w:r>
            <w:r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>.</w:t>
            </w:r>
          </w:p>
          <w:p w14:paraId="3C5D5240" w14:textId="1263225A" w:rsidR="00ED0E5E" w:rsidRPr="000E4E2E" w:rsidRDefault="00660FFB" w:rsidP="00660FF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libri" w:hAnsi="Calibri" w:cs="Arial"/>
                <w:i/>
                <w:color w:val="1F497D" w:themeColor="text2"/>
                <w:sz w:val="20"/>
                <w:szCs w:val="20"/>
                <w:lang w:val="en-US"/>
              </w:rPr>
            </w:pPr>
            <w:r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>Practi</w:t>
            </w:r>
            <w:r w:rsidR="00ED0E5E" w:rsidRPr="000E4E2E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 xml:space="preserve">cals: Laboratory exercises of Plant Pathology. Plant Pathology Laboratory. Agricutlural University of Athens. </w:t>
            </w:r>
          </w:p>
          <w:p w14:paraId="2114E62F" w14:textId="028ED3BB" w:rsidR="008D4C8C" w:rsidRPr="00ED0E5E" w:rsidRDefault="006725FB" w:rsidP="00ED0E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libri" w:hAnsi="Calibri" w:cs="Arial"/>
                <w:color w:val="1F497D" w:themeColor="text2"/>
                <w:sz w:val="20"/>
                <w:szCs w:val="20"/>
                <w:lang w:val="en-US"/>
              </w:rPr>
            </w:pPr>
            <w:r w:rsidRPr="000B6730">
              <w:rPr>
                <w:rFonts w:ascii="Calibri" w:hAnsi="Calibri" w:cs="Arial"/>
                <w:i/>
                <w:color w:val="1F497D" w:themeColor="text2"/>
                <w:sz w:val="20"/>
                <w:szCs w:val="20"/>
                <w:lang w:val="en-US"/>
              </w:rPr>
              <w:t>Scientific journals</w:t>
            </w:r>
            <w:r w:rsidR="00C151CF" w:rsidRPr="000B6730">
              <w:rPr>
                <w:rFonts w:ascii="Calibri" w:hAnsi="Calibri" w:cs="Arial"/>
                <w:i/>
                <w:color w:val="1F497D" w:themeColor="text2"/>
                <w:sz w:val="20"/>
                <w:szCs w:val="20"/>
                <w:lang w:val="en-US"/>
              </w:rPr>
              <w:t xml:space="preserve"> and books</w:t>
            </w:r>
            <w:r w:rsidR="008D4C8C" w:rsidRPr="00ED0E5E">
              <w:rPr>
                <w:rFonts w:ascii="Calibri" w:hAnsi="Calibri" w:cs="Arial"/>
                <w:color w:val="1F497D" w:themeColor="text2"/>
                <w:sz w:val="20"/>
                <w:szCs w:val="20"/>
                <w:lang w:val="en-US"/>
              </w:rPr>
              <w:t>:</w:t>
            </w:r>
          </w:p>
          <w:p w14:paraId="26FD7999" w14:textId="2BEB0095" w:rsidR="00BC0029" w:rsidRPr="00807EFC" w:rsidRDefault="00C151CF" w:rsidP="00807EFC">
            <w:pPr>
              <w:spacing w:after="0" w:line="240" w:lineRule="auto"/>
              <w:jc w:val="both"/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</w:pPr>
            <w:r w:rsidRPr="00B203D8">
              <w:rPr>
                <w:rFonts w:ascii="Calibri" w:hAnsi="Calibri" w:cs="Arial"/>
                <w:bCs/>
                <w:i/>
                <w:color w:val="1F497D" w:themeColor="text2"/>
                <w:sz w:val="20"/>
                <w:szCs w:val="20"/>
                <w:lang w:val="en-US"/>
              </w:rPr>
              <w:t>Disease and Pest Compendia Series (Published by The American Phytopathological Society).</w:t>
            </w:r>
          </w:p>
        </w:tc>
      </w:tr>
    </w:tbl>
    <w:p w14:paraId="48FFFAF2" w14:textId="77777777" w:rsidR="00050B81" w:rsidRPr="009F2B58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sectPr w:rsidR="00050B81" w:rsidRPr="009F2B58" w:rsidSect="0035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LIKI" w:date="2020-07-30T18:06:00Z" w:initials="A">
    <w:p w14:paraId="4BC51829" w14:textId="292753E5" w:rsidR="007C6D03" w:rsidRDefault="007C6D03">
      <w:pPr>
        <w:pStyle w:val="CommentText"/>
      </w:pPr>
      <w:r>
        <w:rPr>
          <w:rStyle w:val="CommentReference"/>
        </w:rPr>
        <w:annotationRef/>
      </w:r>
      <w:r>
        <w:t xml:space="preserve">Δεν γνωρίζω αν εδώ χρειάζεται να προσθέσουμε και την εξ’ αποστάσεως λόγω </w:t>
      </w:r>
      <w:r>
        <w:rPr>
          <w:lang w:val="en-US"/>
        </w:rPr>
        <w:t>covid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C518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61A9"/>
    <w:multiLevelType w:val="hybridMultilevel"/>
    <w:tmpl w:val="95F8B512"/>
    <w:lvl w:ilvl="0" w:tplc="DB249256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  <w:b w:val="0"/>
        <w:color w:val="1F497D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0D073C"/>
    <w:multiLevelType w:val="hybridMultilevel"/>
    <w:tmpl w:val="645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C42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55CF"/>
    <w:multiLevelType w:val="hybridMultilevel"/>
    <w:tmpl w:val="A02E8154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1D9B"/>
    <w:multiLevelType w:val="hybridMultilevel"/>
    <w:tmpl w:val="05E0B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95887"/>
    <w:multiLevelType w:val="hybridMultilevel"/>
    <w:tmpl w:val="E11C8E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238008C"/>
    <w:multiLevelType w:val="hybridMultilevel"/>
    <w:tmpl w:val="A210B9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43381"/>
    <w:multiLevelType w:val="hybridMultilevel"/>
    <w:tmpl w:val="2FE0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A7D57"/>
    <w:multiLevelType w:val="hybridMultilevel"/>
    <w:tmpl w:val="74043CE0"/>
    <w:lvl w:ilvl="0" w:tplc="2ADEC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6BED40A6"/>
    <w:multiLevelType w:val="hybridMultilevel"/>
    <w:tmpl w:val="C2A27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9245A"/>
    <w:multiLevelType w:val="hybridMultilevel"/>
    <w:tmpl w:val="79BEE7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</w:num>
  <w:num w:numId="4">
    <w:abstractNumId w:val="20"/>
  </w:num>
  <w:num w:numId="5">
    <w:abstractNumId w:val="20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 w:numId="13">
    <w:abstractNumId w:val="15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2"/>
  </w:num>
  <w:num w:numId="19">
    <w:abstractNumId w:val="10"/>
  </w:num>
  <w:num w:numId="20">
    <w:abstractNumId w:val="4"/>
  </w:num>
  <w:num w:numId="21">
    <w:abstractNumId w:val="7"/>
  </w:num>
  <w:num w:numId="22">
    <w:abstractNumId w:val="1"/>
  </w:num>
  <w:num w:numId="23">
    <w:abstractNumId w:val="18"/>
  </w:num>
  <w:num w:numId="24">
    <w:abstractNumId w:val="19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KI">
    <w15:presenceInfo w15:providerId="None" w15:userId="ALI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338D2"/>
    <w:rsid w:val="00050B81"/>
    <w:rsid w:val="000B6730"/>
    <w:rsid w:val="000C4C3C"/>
    <w:rsid w:val="000D793E"/>
    <w:rsid w:val="000E4E2E"/>
    <w:rsid w:val="000F1E0B"/>
    <w:rsid w:val="0011034D"/>
    <w:rsid w:val="001571C4"/>
    <w:rsid w:val="001639C6"/>
    <w:rsid w:val="00183A45"/>
    <w:rsid w:val="001A2E2E"/>
    <w:rsid w:val="001A3F9B"/>
    <w:rsid w:val="001C6016"/>
    <w:rsid w:val="001D341B"/>
    <w:rsid w:val="001D4B1C"/>
    <w:rsid w:val="001D7055"/>
    <w:rsid w:val="0020684A"/>
    <w:rsid w:val="002246F5"/>
    <w:rsid w:val="0026316A"/>
    <w:rsid w:val="002743E3"/>
    <w:rsid w:val="00275CDB"/>
    <w:rsid w:val="00287A90"/>
    <w:rsid w:val="00334DD8"/>
    <w:rsid w:val="00336130"/>
    <w:rsid w:val="003548B3"/>
    <w:rsid w:val="00387073"/>
    <w:rsid w:val="003945F8"/>
    <w:rsid w:val="003966D9"/>
    <w:rsid w:val="003B45BC"/>
    <w:rsid w:val="0040640F"/>
    <w:rsid w:val="004D4631"/>
    <w:rsid w:val="004D4774"/>
    <w:rsid w:val="004E03E3"/>
    <w:rsid w:val="004F76BF"/>
    <w:rsid w:val="00505301"/>
    <w:rsid w:val="00512283"/>
    <w:rsid w:val="00570308"/>
    <w:rsid w:val="00593186"/>
    <w:rsid w:val="005B41BC"/>
    <w:rsid w:val="005E094A"/>
    <w:rsid w:val="005E3625"/>
    <w:rsid w:val="00611AF9"/>
    <w:rsid w:val="006151C0"/>
    <w:rsid w:val="00660FFB"/>
    <w:rsid w:val="006725FB"/>
    <w:rsid w:val="006C1EDF"/>
    <w:rsid w:val="006C4731"/>
    <w:rsid w:val="006C74B6"/>
    <w:rsid w:val="00702427"/>
    <w:rsid w:val="007144D5"/>
    <w:rsid w:val="00726337"/>
    <w:rsid w:val="00737BF3"/>
    <w:rsid w:val="007A012C"/>
    <w:rsid w:val="007C6D03"/>
    <w:rsid w:val="00807EFC"/>
    <w:rsid w:val="008149C3"/>
    <w:rsid w:val="0082605E"/>
    <w:rsid w:val="008343A9"/>
    <w:rsid w:val="00881210"/>
    <w:rsid w:val="008D1BD9"/>
    <w:rsid w:val="008D4C8C"/>
    <w:rsid w:val="008E4E96"/>
    <w:rsid w:val="00906BD3"/>
    <w:rsid w:val="00907017"/>
    <w:rsid w:val="009154E4"/>
    <w:rsid w:val="009646AA"/>
    <w:rsid w:val="00974C95"/>
    <w:rsid w:val="0098584C"/>
    <w:rsid w:val="0098621B"/>
    <w:rsid w:val="00996152"/>
    <w:rsid w:val="009C4213"/>
    <w:rsid w:val="009F2B58"/>
    <w:rsid w:val="00A05AF5"/>
    <w:rsid w:val="00A33000"/>
    <w:rsid w:val="00A45BD0"/>
    <w:rsid w:val="00A82CE2"/>
    <w:rsid w:val="00AA2391"/>
    <w:rsid w:val="00AC3282"/>
    <w:rsid w:val="00AD5817"/>
    <w:rsid w:val="00B203D8"/>
    <w:rsid w:val="00B25922"/>
    <w:rsid w:val="00B425BF"/>
    <w:rsid w:val="00B436E6"/>
    <w:rsid w:val="00B461F3"/>
    <w:rsid w:val="00B57E11"/>
    <w:rsid w:val="00B66EDB"/>
    <w:rsid w:val="00BB5C14"/>
    <w:rsid w:val="00BC0029"/>
    <w:rsid w:val="00BF5FB7"/>
    <w:rsid w:val="00BF79C8"/>
    <w:rsid w:val="00C124F8"/>
    <w:rsid w:val="00C151CF"/>
    <w:rsid w:val="00C731B3"/>
    <w:rsid w:val="00CC71E8"/>
    <w:rsid w:val="00CC7544"/>
    <w:rsid w:val="00CF0E2C"/>
    <w:rsid w:val="00D94F8C"/>
    <w:rsid w:val="00D970C1"/>
    <w:rsid w:val="00DB2331"/>
    <w:rsid w:val="00DC6A5A"/>
    <w:rsid w:val="00DF156D"/>
    <w:rsid w:val="00E53803"/>
    <w:rsid w:val="00E904E5"/>
    <w:rsid w:val="00EA1E0D"/>
    <w:rsid w:val="00EB1E49"/>
    <w:rsid w:val="00ED0E5E"/>
    <w:rsid w:val="00ED4BA5"/>
    <w:rsid w:val="00F30B12"/>
    <w:rsid w:val="00F840AB"/>
    <w:rsid w:val="00F869CC"/>
    <w:rsid w:val="00F91CA6"/>
    <w:rsid w:val="00FA4027"/>
    <w:rsid w:val="00FD75C7"/>
    <w:rsid w:val="00FE7016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AA4C"/>
  <w15:docId w15:val="{916A7E9E-CA0F-455F-AE76-BC71FBD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3"/>
  </w:style>
  <w:style w:type="paragraph" w:styleId="Heading2">
    <w:name w:val="heading 2"/>
    <w:basedOn w:val="Normal"/>
    <w:next w:val="Normal"/>
    <w:link w:val="Heading2Char"/>
    <w:uiPriority w:val="99"/>
    <w:qFormat/>
    <w:rsid w:val="00CC7544"/>
    <w:pPr>
      <w:keepNext/>
      <w:tabs>
        <w:tab w:val="left" w:pos="425"/>
      </w:tabs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C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CC7544"/>
    <w:rPr>
      <w:rFonts w:ascii="Calibri" w:eastAsia="Times New Roman" w:hAnsi="Calibri" w:cs="Times New Roman"/>
      <w:b/>
      <w:bCs/>
      <w:sz w:val="24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6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fp.aua.gr/el/mathima/74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C28D-E254-4698-A28C-E11D9213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2026-02-19T13:27:00Z</dcterms:created>
  <dcterms:modified xsi:type="dcterms:W3CDTF">2026-02-19T13:27:00Z</dcterms:modified>
</cp:coreProperties>
</file>