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208"/>
        <w:gridCol w:w="348"/>
        <w:gridCol w:w="1237"/>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914A5B" w:rsidP="00050B81">
            <w:pPr>
              <w:spacing w:after="0" w:line="240" w:lineRule="auto"/>
              <w:rPr>
                <w:rFonts w:ascii="Calibri" w:eastAsia="Times New Roman" w:hAnsi="Calibri" w:cs="Arial"/>
                <w:color w:val="002060"/>
                <w:sz w:val="20"/>
                <w:szCs w:val="20"/>
              </w:rPr>
            </w:pPr>
            <w:r w:rsidRPr="00914A5B">
              <w:rPr>
                <w:rFonts w:ascii="Calibri" w:eastAsia="Times New Roman" w:hAnsi="Calibri" w:cs="Arial"/>
                <w:color w:val="002060"/>
                <w:sz w:val="20"/>
                <w:szCs w:val="20"/>
              </w:rPr>
              <w:t>Σχολή Εφαρμοσμένων Οικονομικών και Κοινωνικών Επιστημών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D341B" w:rsidRDefault="00D57036"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137</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114C98" w:rsidP="00114C98">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9</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222DA9" w:rsidRDefault="0063019F" w:rsidP="0063019F">
            <w:pPr>
              <w:spacing w:after="0" w:line="240" w:lineRule="auto"/>
              <w:rPr>
                <w:rFonts w:ascii="Calibri" w:eastAsia="Times New Roman" w:hAnsi="Calibri" w:cs="Arial"/>
                <w:sz w:val="20"/>
                <w:szCs w:val="20"/>
              </w:rPr>
            </w:pPr>
            <w:r>
              <w:rPr>
                <w:rFonts w:ascii="Calibri" w:hAnsi="Calibri" w:cs="Arial"/>
                <w:color w:val="002060"/>
                <w:sz w:val="20"/>
                <w:szCs w:val="20"/>
              </w:rPr>
              <w:t>ΘΕΩΡΙΑ ΚΑΙ ΠΟΛΙΤΙΚΗ ΔΙΕΘΝΟΥΣ ΕΜΠΟΡΙΟΥ</w:t>
            </w:r>
            <w:r w:rsidR="003B2A0C">
              <w:rPr>
                <w:rFonts w:ascii="Calibri" w:hAnsi="Calibri" w:cs="Arial"/>
                <w:color w:val="002060"/>
                <w:sz w:val="20"/>
                <w:szCs w:val="20"/>
              </w:rPr>
              <w:t xml:space="preserve"> </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22DA9" w:rsidRDefault="00BA3474"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63019F" w:rsidP="0063019F">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ΜΑΚΡΟΟΙΚΟΝΟΜΙΚΗ ΙΙ, ΜΙΚΡΟΟΙΚΟΝΟΜΙΚΗ ΙΙ</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D57036"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6478B7" w:rsidRPr="003B2A0C" w:rsidRDefault="00EB7B93" w:rsidP="006478B7">
            <w:pPr>
              <w:rPr>
                <w:rFonts w:ascii="Calibri" w:hAnsi="Calibri" w:cs="Arial"/>
                <w:color w:val="002060"/>
                <w:sz w:val="20"/>
                <w:szCs w:val="20"/>
                <w:lang w:val="en-GB"/>
              </w:rPr>
            </w:pPr>
            <w:hyperlink r:id="rId5" w:history="1">
              <w:r w:rsidR="006478B7" w:rsidRPr="005A1133">
                <w:rPr>
                  <w:rStyle w:val="Hyperlink"/>
                  <w:rFonts w:ascii="Calibri" w:hAnsi="Calibri" w:cs="Arial"/>
                  <w:sz w:val="20"/>
                  <w:szCs w:val="20"/>
                  <w:lang w:val="en-GB"/>
                </w:rPr>
                <w:t>https://openeclass.aua.gr/courses/ETDA107/</w:t>
              </w:r>
            </w:hyperlink>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4770A1">
        <w:tc>
          <w:tcPr>
            <w:tcW w:w="8522" w:type="dxa"/>
            <w:tcBorders>
              <w:bottom w:val="single" w:sz="4" w:space="0" w:color="auto"/>
            </w:tcBorders>
          </w:tcPr>
          <w:p w:rsidR="00425149" w:rsidRPr="00FA5C16" w:rsidRDefault="00425149" w:rsidP="00425149">
            <w:pPr>
              <w:pStyle w:val="Default"/>
              <w:rPr>
                <w:rFonts w:asciiTheme="minorHAnsi" w:hAnsiTheme="minorHAnsi"/>
                <w:b/>
                <w:color w:val="17365D" w:themeColor="text2" w:themeShade="BF"/>
                <w:sz w:val="22"/>
                <w:szCs w:val="22"/>
                <w:u w:val="single"/>
              </w:rPr>
            </w:pPr>
            <w:r w:rsidRPr="00FA5C16">
              <w:rPr>
                <w:rFonts w:asciiTheme="minorHAnsi" w:hAnsiTheme="minorHAnsi"/>
                <w:b/>
                <w:color w:val="17365D" w:themeColor="text2" w:themeShade="BF"/>
                <w:sz w:val="22"/>
                <w:szCs w:val="22"/>
                <w:u w:val="single"/>
              </w:rPr>
              <w:t>Στο τέλος του κύκλου των μαθημάτων οι φοιτητές/φοιτήτριες θα μπορούν:</w:t>
            </w:r>
          </w:p>
          <w:p w:rsidR="00DD1D8F" w:rsidRPr="00DD1D8F" w:rsidRDefault="00DD1D8F" w:rsidP="00425149">
            <w:pPr>
              <w:pStyle w:val="ListParagraph"/>
              <w:numPr>
                <w:ilvl w:val="0"/>
                <w:numId w:val="17"/>
              </w:numPr>
              <w:autoSpaceDE w:val="0"/>
              <w:autoSpaceDN w:val="0"/>
              <w:adjustRightInd w:val="0"/>
              <w:spacing w:after="0" w:line="240" w:lineRule="auto"/>
              <w:rPr>
                <w:color w:val="17365D" w:themeColor="text2" w:themeShade="BF"/>
              </w:rPr>
            </w:pPr>
            <w:r w:rsidRPr="00DD1D8F">
              <w:rPr>
                <w:rFonts w:cs="Times New Roman"/>
                <w:color w:val="17365D" w:themeColor="text2" w:themeShade="BF"/>
              </w:rPr>
              <w:t>Να αναλύουν το παγκόσμιο εμπόριο και τις βασικές έννοιες</w:t>
            </w:r>
          </w:p>
          <w:p w:rsidR="00DD1D8F" w:rsidRPr="00DD1D8F" w:rsidRDefault="00DD1D8F" w:rsidP="00425149">
            <w:pPr>
              <w:pStyle w:val="ListParagraph"/>
              <w:numPr>
                <w:ilvl w:val="0"/>
                <w:numId w:val="17"/>
              </w:numPr>
              <w:autoSpaceDE w:val="0"/>
              <w:autoSpaceDN w:val="0"/>
              <w:adjustRightInd w:val="0"/>
              <w:spacing w:after="0" w:line="240" w:lineRule="auto"/>
              <w:rPr>
                <w:color w:val="17365D" w:themeColor="text2" w:themeShade="BF"/>
              </w:rPr>
            </w:pPr>
            <w:r w:rsidRPr="00DD1D8F">
              <w:rPr>
                <w:color w:val="17365D" w:themeColor="text2" w:themeShade="BF"/>
              </w:rPr>
              <w:t>Να έχουν την ικανότητα να αντιλαμβάνονται την έννοια του συγκριτικού πλεονεκτήματος</w:t>
            </w:r>
          </w:p>
          <w:p w:rsidR="00DD1D8F" w:rsidRPr="00DD1D8F" w:rsidRDefault="00DD1D8F" w:rsidP="00DD1D8F">
            <w:pPr>
              <w:pStyle w:val="ListParagraph"/>
              <w:numPr>
                <w:ilvl w:val="0"/>
                <w:numId w:val="17"/>
              </w:numPr>
              <w:autoSpaceDE w:val="0"/>
              <w:autoSpaceDN w:val="0"/>
              <w:adjustRightInd w:val="0"/>
              <w:spacing w:after="0" w:line="240" w:lineRule="auto"/>
              <w:rPr>
                <w:color w:val="17365D" w:themeColor="text2" w:themeShade="BF"/>
              </w:rPr>
            </w:pPr>
            <w:r w:rsidRPr="00DD1D8F">
              <w:rPr>
                <w:color w:val="17365D" w:themeColor="text2" w:themeShade="BF"/>
              </w:rPr>
              <w:t xml:space="preserve">Να αναλύουν τον </w:t>
            </w:r>
            <w:r w:rsidR="00425149" w:rsidRPr="00DD1D8F">
              <w:rPr>
                <w:color w:val="17365D" w:themeColor="text2" w:themeShade="BF"/>
              </w:rPr>
              <w:t>ρόλο</w:t>
            </w:r>
            <w:r w:rsidRPr="00DD1D8F">
              <w:rPr>
                <w:color w:val="17365D" w:themeColor="text2" w:themeShade="BF"/>
              </w:rPr>
              <w:t xml:space="preserve"> των </w:t>
            </w:r>
            <w:r w:rsidR="00425149" w:rsidRPr="00DD1D8F">
              <w:rPr>
                <w:color w:val="17365D" w:themeColor="text2" w:themeShade="BF"/>
              </w:rPr>
              <w:t xml:space="preserve"> εθνικών πολιτικών που περιορίζουν ή διευρύνουν τις συνέπειες του διεθνούς εμπορίου</w:t>
            </w:r>
          </w:p>
          <w:p w:rsidR="00425149" w:rsidRPr="00DD1D8F" w:rsidRDefault="00DD1D8F" w:rsidP="00DD1D8F">
            <w:pPr>
              <w:pStyle w:val="ListParagraph"/>
              <w:numPr>
                <w:ilvl w:val="0"/>
                <w:numId w:val="17"/>
              </w:numPr>
              <w:autoSpaceDE w:val="0"/>
              <w:autoSpaceDN w:val="0"/>
              <w:adjustRightInd w:val="0"/>
              <w:spacing w:after="0" w:line="240" w:lineRule="auto"/>
              <w:rPr>
                <w:rFonts w:ascii="Calibri" w:eastAsia="Times New Roman" w:hAnsi="Calibri" w:cs="Arial"/>
                <w:color w:val="002060"/>
              </w:rPr>
            </w:pPr>
            <w:r w:rsidRPr="00DD1D8F">
              <w:rPr>
                <w:color w:val="17365D" w:themeColor="text2" w:themeShade="BF"/>
              </w:rPr>
              <w:t xml:space="preserve">Να αναλύουν τον </w:t>
            </w:r>
            <w:r w:rsidR="00425149" w:rsidRPr="00DD1D8F">
              <w:rPr>
                <w:color w:val="17365D" w:themeColor="text2" w:themeShade="BF"/>
              </w:rPr>
              <w:t xml:space="preserve">ρόλο των δασμών και των ποσοτικών περιορισμών στις εισαγωγές και </w:t>
            </w:r>
            <w:r w:rsidRPr="00DD1D8F">
              <w:rPr>
                <w:color w:val="17365D" w:themeColor="text2" w:themeShade="BF"/>
              </w:rPr>
              <w:t>τ</w:t>
            </w:r>
            <w:r w:rsidR="00425149" w:rsidRPr="00DD1D8F">
              <w:rPr>
                <w:color w:val="17365D" w:themeColor="text2" w:themeShade="BF"/>
              </w:rPr>
              <w:t>η σημασία των διεθνικών καρτέλ</w:t>
            </w:r>
          </w:p>
          <w:p w:rsidR="00DD1D8F" w:rsidRPr="00DD1D8F" w:rsidRDefault="00DD1D8F" w:rsidP="00DD1D8F">
            <w:pPr>
              <w:numPr>
                <w:ilvl w:val="0"/>
                <w:numId w:val="17"/>
              </w:numPr>
              <w:spacing w:before="60" w:after="60" w:line="240" w:lineRule="auto"/>
              <w:jc w:val="both"/>
              <w:rPr>
                <w:color w:val="17365D" w:themeColor="text2" w:themeShade="BF"/>
                <w:spacing w:val="-6"/>
              </w:rPr>
            </w:pPr>
            <w:r w:rsidRPr="00DD1D8F">
              <w:rPr>
                <w:color w:val="17365D" w:themeColor="text2" w:themeShade="BF"/>
                <w:spacing w:val="-6"/>
              </w:rPr>
              <w:t xml:space="preserve">Να περιγράψουν τα βασικά </w:t>
            </w:r>
            <w:proofErr w:type="spellStart"/>
            <w:r w:rsidRPr="00DD1D8F">
              <w:rPr>
                <w:color w:val="17365D" w:themeColor="text2" w:themeShade="BF"/>
                <w:spacing w:val="-6"/>
              </w:rPr>
              <w:t>εθνικολογιστικά</w:t>
            </w:r>
            <w:proofErr w:type="spellEnd"/>
            <w:r w:rsidRPr="00DD1D8F">
              <w:rPr>
                <w:color w:val="17365D" w:themeColor="text2" w:themeShade="BF"/>
                <w:spacing w:val="-6"/>
              </w:rPr>
              <w:t xml:space="preserve"> μεγέθη, το εμπορικό ισοζύγιο, το ισοζύγιο πληρωμών</w:t>
            </w:r>
          </w:p>
          <w:p w:rsidR="00DD1D8F" w:rsidRPr="00DD1D8F" w:rsidRDefault="00DD1D8F" w:rsidP="00DD1D8F">
            <w:pPr>
              <w:numPr>
                <w:ilvl w:val="0"/>
                <w:numId w:val="17"/>
              </w:numPr>
              <w:spacing w:before="60" w:after="60" w:line="240" w:lineRule="auto"/>
              <w:jc w:val="both"/>
              <w:rPr>
                <w:color w:val="17365D" w:themeColor="text2" w:themeShade="BF"/>
                <w:spacing w:val="-6"/>
              </w:rPr>
            </w:pPr>
            <w:r w:rsidRPr="00DD1D8F">
              <w:rPr>
                <w:color w:val="17365D" w:themeColor="text2" w:themeShade="BF"/>
                <w:spacing w:val="-6"/>
              </w:rPr>
              <w:t>Να συσχετίζουν τα δημοσιονομικά ελλείμματα/πλεονάσματα με τα ελλείμματα πλεονάσματα του ισοζυγίου τρεχουσών συναλλαγών</w:t>
            </w:r>
          </w:p>
          <w:p w:rsidR="00DD1D8F" w:rsidRPr="00425149" w:rsidRDefault="00DD1D8F" w:rsidP="00DD1D8F">
            <w:pPr>
              <w:numPr>
                <w:ilvl w:val="0"/>
                <w:numId w:val="17"/>
              </w:numPr>
              <w:spacing w:before="60" w:after="60" w:line="240" w:lineRule="auto"/>
              <w:jc w:val="both"/>
              <w:rPr>
                <w:rFonts w:ascii="Calibri" w:eastAsia="Times New Roman" w:hAnsi="Calibri" w:cs="Arial"/>
                <w:color w:val="002060"/>
              </w:rPr>
            </w:pPr>
            <w:r w:rsidRPr="00DD1D8F">
              <w:rPr>
                <w:color w:val="17365D" w:themeColor="text2" w:themeShade="BF"/>
                <w:spacing w:val="-6"/>
              </w:rPr>
              <w:lastRenderedPageBreak/>
              <w:t>Να αναλύουν τις συναλλαγματικές ισοτιμίες  και την αγορά συναλλάγματος</w:t>
            </w:r>
          </w:p>
        </w:tc>
      </w:tr>
      <w:tr w:rsidR="004770A1" w:rsidRPr="001D341B" w:rsidTr="004770A1">
        <w:tc>
          <w:tcPr>
            <w:tcW w:w="8522" w:type="dxa"/>
            <w:tcBorders>
              <w:bottom w:val="nil"/>
            </w:tcBorders>
            <w:shd w:val="clear" w:color="auto" w:fill="C4BC96" w:themeFill="background2" w:themeFillShade="BF"/>
          </w:tcPr>
          <w:p w:rsidR="004770A1" w:rsidRDefault="004770A1" w:rsidP="001D341B">
            <w:pPr>
              <w:spacing w:after="0" w:line="240" w:lineRule="auto"/>
              <w:jc w:val="both"/>
              <w:rPr>
                <w:rFonts w:ascii="Calibri" w:eastAsia="Times New Roman" w:hAnsi="Calibri" w:cs="Arial"/>
                <w:color w:val="002060"/>
                <w:sz w:val="20"/>
                <w:szCs w:val="20"/>
              </w:rPr>
            </w:pPr>
            <w:r w:rsidRPr="00050B81">
              <w:rPr>
                <w:rFonts w:ascii="Calibri" w:eastAsia="Times New Roman" w:hAnsi="Calibri" w:cs="Arial"/>
                <w:b/>
                <w:sz w:val="20"/>
                <w:szCs w:val="20"/>
              </w:rPr>
              <w:lastRenderedPageBreak/>
              <w:t>Γενικές Ικανότητες</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C712D5">
        <w:tc>
          <w:tcPr>
            <w:tcW w:w="8522" w:type="dxa"/>
            <w:tcBorders>
              <w:bottom w:val="single" w:sz="4" w:space="0" w:color="auto"/>
            </w:tcBorders>
          </w:tcPr>
          <w:p w:rsidR="00C712D5" w:rsidRPr="00C712D5" w:rsidRDefault="00C712D5" w:rsidP="00C712D5">
            <w:pPr>
              <w:pStyle w:val="ListParagraph"/>
              <w:numPr>
                <w:ilvl w:val="0"/>
                <w:numId w:val="2"/>
              </w:numPr>
              <w:spacing w:before="60" w:after="60" w:line="240" w:lineRule="auto"/>
              <w:ind w:left="709" w:hanging="283"/>
              <w:jc w:val="both"/>
              <w:rPr>
                <w:color w:val="17365D" w:themeColor="text2" w:themeShade="BF"/>
                <w:spacing w:val="-6"/>
              </w:rPr>
            </w:pPr>
            <w:r w:rsidRPr="00C712D5">
              <w:rPr>
                <w:color w:val="17365D" w:themeColor="text2" w:themeShade="BF"/>
                <w:spacing w:val="-6"/>
              </w:rPr>
              <w:t>Ικανότητα να επιδεικνύουν γνώση και κατανόηση μεταξύ των θεωριών του διεθνούς εμπορίου</w:t>
            </w:r>
          </w:p>
          <w:p w:rsidR="00C712D5" w:rsidRPr="00C712D5" w:rsidRDefault="00C712D5" w:rsidP="00C712D5">
            <w:pPr>
              <w:pStyle w:val="ListParagraph"/>
              <w:numPr>
                <w:ilvl w:val="0"/>
                <w:numId w:val="2"/>
              </w:numPr>
              <w:spacing w:before="60" w:after="60" w:line="240" w:lineRule="auto"/>
              <w:ind w:left="709" w:hanging="283"/>
              <w:jc w:val="both"/>
              <w:rPr>
                <w:color w:val="17365D" w:themeColor="text2" w:themeShade="BF"/>
                <w:spacing w:val="-6"/>
              </w:rPr>
            </w:pPr>
            <w:r w:rsidRPr="00C712D5">
              <w:rPr>
                <w:color w:val="17365D" w:themeColor="text2" w:themeShade="BF"/>
                <w:spacing w:val="-6"/>
              </w:rPr>
              <w:t>Ικανότητα να επιδεικνύουν γνώση και κατανόηση όσον αφορά την λειτουργία μίας ανοικτής οικονομίας</w:t>
            </w:r>
          </w:p>
          <w:p w:rsidR="00C712D5" w:rsidRPr="00C712D5" w:rsidRDefault="00C712D5" w:rsidP="00C712D5">
            <w:pPr>
              <w:pStyle w:val="ListParagraph"/>
              <w:numPr>
                <w:ilvl w:val="0"/>
                <w:numId w:val="2"/>
              </w:numPr>
              <w:spacing w:before="60" w:after="60" w:line="240" w:lineRule="auto"/>
              <w:ind w:left="709" w:hanging="283"/>
              <w:jc w:val="both"/>
              <w:rPr>
                <w:color w:val="17365D" w:themeColor="text2" w:themeShade="BF"/>
                <w:spacing w:val="-6"/>
              </w:rPr>
            </w:pPr>
            <w:r w:rsidRPr="00C712D5">
              <w:rPr>
                <w:color w:val="17365D" w:themeColor="text2" w:themeShade="BF"/>
                <w:spacing w:val="-6"/>
              </w:rPr>
              <w:t>Ικανότητα ερμηνείας των στατιστικών δεδομένων σχετικά με την πορεία βασικών μακροοικονομικών μεταβλητών που αφορούν το διεθνές εμπόριο και την ανταγωνιστικότητα</w:t>
            </w:r>
          </w:p>
          <w:p w:rsidR="00C712D5" w:rsidRPr="00C712D5" w:rsidRDefault="00C712D5" w:rsidP="00C712D5">
            <w:pPr>
              <w:pStyle w:val="ListParagraph"/>
              <w:widowControl w:val="0"/>
              <w:numPr>
                <w:ilvl w:val="0"/>
                <w:numId w:val="2"/>
              </w:numPr>
              <w:autoSpaceDE w:val="0"/>
              <w:autoSpaceDN w:val="0"/>
              <w:adjustRightInd w:val="0"/>
              <w:spacing w:after="0" w:line="240" w:lineRule="auto"/>
              <w:ind w:left="709" w:hanging="283"/>
              <w:rPr>
                <w:rFonts w:eastAsia="Times New Roman" w:cs="Arial"/>
                <w:color w:val="17365D" w:themeColor="text2" w:themeShade="BF"/>
              </w:rPr>
            </w:pPr>
            <w:r w:rsidRPr="00C712D5">
              <w:rPr>
                <w:color w:val="17365D" w:themeColor="text2" w:themeShade="BF"/>
                <w:spacing w:val="-6"/>
              </w:rPr>
              <w:t>Ικανότητα επίλυσης  σχετικών ασκήσεων και ερμηνεία των αποτελεσμάτων</w:t>
            </w:r>
          </w:p>
          <w:p w:rsidR="00C712D5" w:rsidRPr="00C712D5" w:rsidRDefault="00C712D5" w:rsidP="00C712D5">
            <w:pPr>
              <w:pStyle w:val="ListParagraph"/>
              <w:widowControl w:val="0"/>
              <w:numPr>
                <w:ilvl w:val="0"/>
                <w:numId w:val="2"/>
              </w:numPr>
              <w:autoSpaceDE w:val="0"/>
              <w:autoSpaceDN w:val="0"/>
              <w:adjustRightInd w:val="0"/>
              <w:spacing w:after="0" w:line="240" w:lineRule="auto"/>
              <w:ind w:left="709" w:hanging="283"/>
              <w:rPr>
                <w:rFonts w:eastAsia="Times New Roman" w:cs="Arial"/>
                <w:color w:val="17365D" w:themeColor="text2" w:themeShade="BF"/>
              </w:rPr>
            </w:pPr>
            <w:r w:rsidRPr="00C712D5">
              <w:rPr>
                <w:rFonts w:eastAsia="Times New Roman" w:cs="Arial"/>
                <w:color w:val="17365D" w:themeColor="text2" w:themeShade="BF"/>
              </w:rPr>
              <w:t xml:space="preserve">Αναζήτηση, ανάλυση και σύνθεση δεδομένων και πληροφοριών. </w:t>
            </w:r>
          </w:p>
          <w:p w:rsidR="00C712D5" w:rsidRPr="00C712D5" w:rsidRDefault="00C712D5" w:rsidP="00C712D5">
            <w:pPr>
              <w:pStyle w:val="ListParagraph"/>
              <w:widowControl w:val="0"/>
              <w:numPr>
                <w:ilvl w:val="0"/>
                <w:numId w:val="2"/>
              </w:numPr>
              <w:autoSpaceDE w:val="0"/>
              <w:autoSpaceDN w:val="0"/>
              <w:adjustRightInd w:val="0"/>
              <w:spacing w:after="0" w:line="240" w:lineRule="auto"/>
              <w:ind w:left="709" w:hanging="283"/>
              <w:rPr>
                <w:rFonts w:eastAsia="Times New Roman" w:cs="Arial"/>
                <w:color w:val="17365D" w:themeColor="text2" w:themeShade="BF"/>
              </w:rPr>
            </w:pPr>
            <w:r w:rsidRPr="00C712D5">
              <w:rPr>
                <w:rFonts w:eastAsia="Calibri" w:cs="Times New Roman"/>
                <w:color w:val="17365D" w:themeColor="text2" w:themeShade="BF"/>
              </w:rPr>
              <w:t>Αυτόνομη Εργασία</w:t>
            </w:r>
          </w:p>
          <w:p w:rsidR="00C712D5" w:rsidRPr="00C712D5" w:rsidRDefault="00C712D5" w:rsidP="00C712D5">
            <w:pPr>
              <w:pStyle w:val="ListParagraph"/>
              <w:widowControl w:val="0"/>
              <w:numPr>
                <w:ilvl w:val="0"/>
                <w:numId w:val="2"/>
              </w:numPr>
              <w:autoSpaceDE w:val="0"/>
              <w:autoSpaceDN w:val="0"/>
              <w:adjustRightInd w:val="0"/>
              <w:spacing w:after="0" w:line="240" w:lineRule="auto"/>
              <w:ind w:left="709" w:hanging="283"/>
              <w:rPr>
                <w:rFonts w:eastAsia="Times New Roman" w:cs="Arial"/>
                <w:color w:val="17365D" w:themeColor="text2" w:themeShade="BF"/>
              </w:rPr>
            </w:pPr>
            <w:r w:rsidRPr="00C712D5">
              <w:rPr>
                <w:rFonts w:eastAsia="Calibri" w:cs="Times New Roman"/>
                <w:color w:val="17365D" w:themeColor="text2" w:themeShade="BF"/>
              </w:rPr>
              <w:t xml:space="preserve">Άσκηση κριτικής </w:t>
            </w:r>
          </w:p>
          <w:p w:rsidR="00C712D5" w:rsidRPr="00C712D5" w:rsidRDefault="00C712D5" w:rsidP="00C712D5">
            <w:pPr>
              <w:pStyle w:val="ListParagraph"/>
              <w:widowControl w:val="0"/>
              <w:numPr>
                <w:ilvl w:val="0"/>
                <w:numId w:val="2"/>
              </w:numPr>
              <w:autoSpaceDE w:val="0"/>
              <w:autoSpaceDN w:val="0"/>
              <w:adjustRightInd w:val="0"/>
              <w:spacing w:after="0" w:line="240" w:lineRule="auto"/>
              <w:ind w:left="709" w:hanging="283"/>
              <w:rPr>
                <w:rFonts w:eastAsia="Times New Roman" w:cs="Arial"/>
                <w:color w:val="17365D" w:themeColor="text2" w:themeShade="BF"/>
              </w:rPr>
            </w:pPr>
            <w:r w:rsidRPr="00C712D5">
              <w:rPr>
                <w:rFonts w:eastAsia="Calibri" w:cs="Times New Roman"/>
                <w:color w:val="17365D" w:themeColor="text2" w:themeShade="BF"/>
              </w:rPr>
              <w:t>Προαγωγή της ελεύθερης, δημιουργικής και επαγωγικής σκέψης</w:t>
            </w:r>
          </w:p>
          <w:p w:rsidR="00C712D5" w:rsidRPr="00C712D5" w:rsidRDefault="00C712D5" w:rsidP="00C712D5">
            <w:pPr>
              <w:widowControl w:val="0"/>
              <w:autoSpaceDE w:val="0"/>
              <w:autoSpaceDN w:val="0"/>
              <w:adjustRightInd w:val="0"/>
              <w:spacing w:after="0" w:line="240" w:lineRule="auto"/>
              <w:ind w:left="360"/>
              <w:rPr>
                <w:rFonts w:eastAsia="Times New Roman" w:cs="Arial"/>
                <w:color w:val="17365D" w:themeColor="text2" w:themeShade="BF"/>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056ECC" w:rsidRDefault="00056ECC" w:rsidP="00056ECC">
            <w:pPr>
              <w:pStyle w:val="ListParagraph"/>
              <w:numPr>
                <w:ilvl w:val="0"/>
                <w:numId w:val="22"/>
              </w:numPr>
              <w:spacing w:after="0" w:line="240" w:lineRule="auto"/>
              <w:rPr>
                <w:color w:val="17365D" w:themeColor="text2" w:themeShade="BF"/>
              </w:rPr>
            </w:pPr>
            <w:r w:rsidRPr="00056ECC">
              <w:rPr>
                <w:color w:val="17365D" w:themeColor="text2" w:themeShade="BF"/>
              </w:rPr>
              <w:t>Το διεθνές εμπόριο: Το διεθνές εμπόριο στην οικονομική επιστήμη, διεθνές εμπόριο και διεθνής οικονομική, το διεθνές εμπόριο της Ελλάδας και της Ευρωπαϊκής Ένωσης.</w:t>
            </w:r>
          </w:p>
          <w:p w:rsidR="00056ECC" w:rsidRDefault="00056ECC" w:rsidP="00056ECC">
            <w:pPr>
              <w:pStyle w:val="ListParagraph"/>
              <w:numPr>
                <w:ilvl w:val="0"/>
                <w:numId w:val="22"/>
              </w:numPr>
              <w:spacing w:after="0" w:line="240" w:lineRule="auto"/>
              <w:rPr>
                <w:color w:val="17365D" w:themeColor="text2" w:themeShade="BF"/>
              </w:rPr>
            </w:pPr>
            <w:r w:rsidRPr="00056ECC">
              <w:rPr>
                <w:color w:val="17365D" w:themeColor="text2" w:themeShade="BF"/>
              </w:rPr>
              <w:t xml:space="preserve">Θεωρία Διεθνούς Εμπορίου: Το υπόδειγμα </w:t>
            </w:r>
            <w:proofErr w:type="spellStart"/>
            <w:r w:rsidRPr="00056ECC">
              <w:rPr>
                <w:color w:val="17365D" w:themeColor="text2" w:themeShade="BF"/>
              </w:rPr>
              <w:t>Ricardo</w:t>
            </w:r>
            <w:proofErr w:type="spellEnd"/>
            <w:r w:rsidRPr="00056ECC">
              <w:rPr>
                <w:color w:val="17365D" w:themeColor="text2" w:themeShade="BF"/>
              </w:rPr>
              <w:t xml:space="preserve">: παραγωγικότητα εργασίας και συγκριτικό πλεονέκτημα. </w:t>
            </w:r>
          </w:p>
          <w:p w:rsidR="00056ECC" w:rsidRDefault="00056ECC" w:rsidP="00056ECC">
            <w:pPr>
              <w:pStyle w:val="ListParagraph"/>
              <w:numPr>
                <w:ilvl w:val="0"/>
                <w:numId w:val="22"/>
              </w:numPr>
              <w:spacing w:after="0" w:line="240" w:lineRule="auto"/>
              <w:rPr>
                <w:color w:val="17365D" w:themeColor="text2" w:themeShade="BF"/>
              </w:rPr>
            </w:pPr>
            <w:r w:rsidRPr="00056ECC">
              <w:rPr>
                <w:color w:val="17365D" w:themeColor="text2" w:themeShade="BF"/>
              </w:rPr>
              <w:t xml:space="preserve">Το υπόδειγμα </w:t>
            </w:r>
            <w:proofErr w:type="spellStart"/>
            <w:r w:rsidRPr="00056ECC">
              <w:rPr>
                <w:color w:val="17365D" w:themeColor="text2" w:themeShade="BF"/>
              </w:rPr>
              <w:t>Heckscher</w:t>
            </w:r>
            <w:proofErr w:type="spellEnd"/>
            <w:r w:rsidRPr="00056ECC">
              <w:rPr>
                <w:color w:val="17365D" w:themeColor="text2" w:themeShade="BF"/>
              </w:rPr>
              <w:t xml:space="preserve"> - </w:t>
            </w:r>
            <w:proofErr w:type="spellStart"/>
            <w:r w:rsidRPr="00056ECC">
              <w:rPr>
                <w:color w:val="17365D" w:themeColor="text2" w:themeShade="BF"/>
              </w:rPr>
              <w:t>Ohlin</w:t>
            </w:r>
            <w:proofErr w:type="spellEnd"/>
            <w:r w:rsidRPr="00056ECC">
              <w:rPr>
                <w:color w:val="17365D" w:themeColor="text2" w:themeShade="BF"/>
              </w:rPr>
              <w:t xml:space="preserve">: πόροι και διεθνές εμπόριο. </w:t>
            </w:r>
          </w:p>
          <w:p w:rsidR="00056ECC" w:rsidRDefault="00056ECC" w:rsidP="00056ECC">
            <w:pPr>
              <w:pStyle w:val="ListParagraph"/>
              <w:numPr>
                <w:ilvl w:val="0"/>
                <w:numId w:val="22"/>
              </w:numPr>
              <w:spacing w:after="0" w:line="240" w:lineRule="auto"/>
              <w:rPr>
                <w:color w:val="17365D" w:themeColor="text2" w:themeShade="BF"/>
              </w:rPr>
            </w:pPr>
            <w:r w:rsidRPr="00056ECC">
              <w:rPr>
                <w:color w:val="17365D" w:themeColor="text2" w:themeShade="BF"/>
              </w:rPr>
              <w:t xml:space="preserve">Ένα πρότυπο υπόδειγμα διεθνούς εμπορίου: όροι εμπορίου και ευημερία – εξαγωγικά και εισαγωγικά προσανατολισμένη μεγέθυνση – διεθνείς μεταβιβάσεις εισοδήματος – επίδραση δασμών και εξαγωγικών επιδοτήσεων στους όρους εμπορίου – το θεώρημα </w:t>
            </w:r>
            <w:proofErr w:type="spellStart"/>
            <w:r w:rsidRPr="00056ECC">
              <w:rPr>
                <w:color w:val="17365D" w:themeColor="text2" w:themeShade="BF"/>
              </w:rPr>
              <w:t>Stopler</w:t>
            </w:r>
            <w:proofErr w:type="spellEnd"/>
            <w:r w:rsidRPr="00056ECC">
              <w:rPr>
                <w:color w:val="17365D" w:themeColor="text2" w:themeShade="BF"/>
              </w:rPr>
              <w:t xml:space="preserve"> - </w:t>
            </w:r>
            <w:proofErr w:type="spellStart"/>
            <w:r w:rsidRPr="00056ECC">
              <w:rPr>
                <w:color w:val="17365D" w:themeColor="text2" w:themeShade="BF"/>
              </w:rPr>
              <w:t>Samuelson</w:t>
            </w:r>
            <w:proofErr w:type="spellEnd"/>
            <w:r w:rsidRPr="00056ECC">
              <w:rPr>
                <w:color w:val="17365D" w:themeColor="text2" w:themeShade="BF"/>
              </w:rPr>
              <w:t xml:space="preserve"> - το θεώρημα </w:t>
            </w:r>
            <w:proofErr w:type="spellStart"/>
            <w:r w:rsidRPr="00056ECC">
              <w:rPr>
                <w:color w:val="17365D" w:themeColor="text2" w:themeShade="BF"/>
              </w:rPr>
              <w:t>Rybczynski</w:t>
            </w:r>
            <w:proofErr w:type="spellEnd"/>
            <w:r w:rsidRPr="00056ECC">
              <w:rPr>
                <w:color w:val="17365D" w:themeColor="text2" w:themeShade="BF"/>
              </w:rPr>
              <w:t xml:space="preserve"> – καμπύλες διάθεσης. </w:t>
            </w:r>
          </w:p>
          <w:p w:rsidR="00056ECC" w:rsidRPr="00056ECC" w:rsidRDefault="00056ECC" w:rsidP="00056ECC">
            <w:pPr>
              <w:pStyle w:val="ListParagraph"/>
              <w:numPr>
                <w:ilvl w:val="0"/>
                <w:numId w:val="22"/>
              </w:numPr>
              <w:spacing w:after="0" w:line="240" w:lineRule="auto"/>
              <w:rPr>
                <w:iCs/>
                <w:color w:val="002060"/>
              </w:rPr>
            </w:pPr>
            <w:r w:rsidRPr="00056ECC">
              <w:rPr>
                <w:color w:val="17365D" w:themeColor="text2" w:themeShade="BF"/>
              </w:rPr>
              <w:t xml:space="preserve">Το υπόδειγμα του ενδοκλαδικού εμπορίου: οικονομίες κλίμακας, ατελής ανταγωνισμός, διαφοροποίηση προϊόντων και διεθνές εμπόριο. </w:t>
            </w:r>
          </w:p>
          <w:p w:rsidR="00056ECC" w:rsidRPr="00056ECC" w:rsidRDefault="00056ECC" w:rsidP="00056ECC">
            <w:pPr>
              <w:pStyle w:val="ListParagraph"/>
              <w:numPr>
                <w:ilvl w:val="0"/>
                <w:numId w:val="22"/>
              </w:numPr>
              <w:spacing w:after="0" w:line="240" w:lineRule="auto"/>
              <w:rPr>
                <w:iCs/>
                <w:color w:val="002060"/>
              </w:rPr>
            </w:pPr>
            <w:r w:rsidRPr="00056ECC">
              <w:rPr>
                <w:color w:val="17365D" w:themeColor="text2" w:themeShade="BF"/>
              </w:rPr>
              <w:t>Διεθνής κίνηση συντελεστών παραγωγής.</w:t>
            </w:r>
            <w:r>
              <w:rPr>
                <w:color w:val="17365D" w:themeColor="text2" w:themeShade="BF"/>
              </w:rPr>
              <w:t xml:space="preserve"> </w:t>
            </w:r>
            <w:r w:rsidRPr="00056ECC">
              <w:rPr>
                <w:color w:val="17365D" w:themeColor="text2" w:themeShade="BF"/>
              </w:rPr>
              <w:t xml:space="preserve">Πολιτική Διεθνούς Εμπορίου: Εμπορικές Πολιτικές: αναλυτικό πλαίσιο μερικής και γενικής ισορροπίας – μικρή και μεγάλη χώρα – μέτρηση οφέλους και απωλειών από την άσκηση εμπορικής πολιτικής. </w:t>
            </w:r>
          </w:p>
          <w:p w:rsidR="00056ECC" w:rsidRPr="00056ECC" w:rsidRDefault="00056ECC" w:rsidP="00056ECC">
            <w:pPr>
              <w:pStyle w:val="ListParagraph"/>
              <w:numPr>
                <w:ilvl w:val="0"/>
                <w:numId w:val="22"/>
              </w:numPr>
              <w:spacing w:after="0" w:line="240" w:lineRule="auto"/>
              <w:rPr>
                <w:iCs/>
                <w:color w:val="002060"/>
              </w:rPr>
            </w:pPr>
            <w:r w:rsidRPr="00056ECC">
              <w:rPr>
                <w:color w:val="17365D" w:themeColor="text2" w:themeShade="BF"/>
              </w:rPr>
              <w:t xml:space="preserve">Τρόπος εφαρμογής και κόστη/οφέλη των κυριότερων εμπορικών πολιτικών: δασμοί – εξαγωγικές επιδοτήσεις - ποσοστώσεις – εθελοντικοί περιορισμοί εξαγωγών – άλλα μέσα άσκησης εμπορικής πολιτικής. </w:t>
            </w:r>
            <w:r w:rsidR="00C712D5">
              <w:rPr>
                <w:color w:val="17365D" w:themeColor="text2" w:themeShade="BF"/>
              </w:rPr>
              <w:t>Η Κοινή Αγροτική Πολιτική.</w:t>
            </w:r>
          </w:p>
          <w:p w:rsidR="00C712D5" w:rsidRPr="00C712D5" w:rsidRDefault="00C712D5" w:rsidP="00056ECC">
            <w:pPr>
              <w:pStyle w:val="ListParagraph"/>
              <w:numPr>
                <w:ilvl w:val="0"/>
                <w:numId w:val="22"/>
              </w:numPr>
              <w:spacing w:after="0" w:line="240" w:lineRule="auto"/>
              <w:rPr>
                <w:iCs/>
                <w:color w:val="002060"/>
              </w:rPr>
            </w:pPr>
            <w:r>
              <w:rPr>
                <w:color w:val="17365D" w:themeColor="text2" w:themeShade="BF"/>
              </w:rPr>
              <w:t>Από την Ευρωπαϊκή Οικονομική Κοινότητα στην Ευρωπαϊκή Ένωση</w:t>
            </w:r>
          </w:p>
          <w:p w:rsidR="00C712D5" w:rsidRPr="006641F8" w:rsidRDefault="00C712D5" w:rsidP="00C712D5">
            <w:pPr>
              <w:pStyle w:val="ListParagraph"/>
              <w:numPr>
                <w:ilvl w:val="0"/>
                <w:numId w:val="22"/>
              </w:numPr>
              <w:spacing w:after="0" w:line="240" w:lineRule="auto"/>
              <w:rPr>
                <w:iCs/>
                <w:color w:val="002060"/>
              </w:rPr>
            </w:pPr>
            <w:r>
              <w:rPr>
                <w:color w:val="17365D" w:themeColor="text2" w:themeShade="BF"/>
              </w:rPr>
              <w:t>Μακροοικονομική των συναλλαγματικών ισοτιμιών και της ανοικτής οικονομίας.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F840AB" w:rsidRPr="00F840AB" w:rsidRDefault="001D341B" w:rsidP="00056ECC">
            <w:pPr>
              <w:pStyle w:val="ListParagraph"/>
              <w:numPr>
                <w:ilvl w:val="0"/>
                <w:numId w:val="8"/>
              </w:numPr>
              <w:spacing w:after="0" w:line="240" w:lineRule="auto"/>
              <w:rPr>
                <w:rFonts w:ascii="Calibri" w:eastAsia="Times New Roman" w:hAnsi="Calibri" w:cs="Arial"/>
                <w:b/>
                <w:color w:val="002060"/>
                <w:sz w:val="20"/>
                <w:szCs w:val="20"/>
              </w:rPr>
            </w:pPr>
            <w:r w:rsidRPr="00056ECC">
              <w:rPr>
                <w:iCs/>
                <w:color w:val="002060"/>
              </w:rPr>
              <w:t xml:space="preserve">Υποστήριξη Μαθησιακής διαδικασίας μέσω της ηλεκτρονικής πλατφόρμας </w:t>
            </w:r>
            <w:r w:rsidR="008649BF" w:rsidRPr="00056ECC">
              <w:rPr>
                <w:iCs/>
                <w:color w:val="002060"/>
                <w:lang w:val="en-US"/>
              </w:rPr>
              <w:t>E</w:t>
            </w:r>
            <w:r w:rsidRPr="00056ECC">
              <w:rPr>
                <w:iCs/>
                <w:color w:val="002060"/>
              </w:rPr>
              <w:t>-</w:t>
            </w:r>
            <w:r w:rsidRPr="00056ECC">
              <w:rPr>
                <w:iCs/>
                <w:color w:val="002060"/>
                <w:lang w:val="en-US"/>
              </w:rPr>
              <w:t>class</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w:t>
            </w:r>
            <w:r w:rsidRPr="00050B81">
              <w:rPr>
                <w:rFonts w:ascii="Calibri" w:eastAsia="Times New Roman" w:hAnsi="Calibri" w:cs="Arial"/>
                <w:i/>
                <w:sz w:val="16"/>
                <w:szCs w:val="16"/>
              </w:rPr>
              <w:lastRenderedPageBreak/>
              <w:t>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F1731B" w:rsidRDefault="00F1731B" w:rsidP="00050B81">
                  <w:pPr>
                    <w:jc w:val="center"/>
                    <w:rPr>
                      <w:rFonts w:ascii="Calibri" w:hAnsi="Calibri" w:cs="Arial"/>
                      <w:color w:val="002060"/>
                      <w:lang w:val="el-GR"/>
                    </w:rPr>
                  </w:pPr>
                  <w:r>
                    <w:rPr>
                      <w:rFonts w:ascii="Calibri" w:hAnsi="Calibri" w:cs="Arial"/>
                      <w:color w:val="002060"/>
                      <w:lang w:val="el-GR"/>
                    </w:rPr>
                    <w:t>44</w:t>
                  </w:r>
                </w:p>
              </w:tc>
            </w:tr>
            <w:tr w:rsidR="00F840AB" w:rsidRPr="00050B81" w:rsidTr="00050B81">
              <w:tc>
                <w:tcPr>
                  <w:tcW w:w="2467" w:type="dxa"/>
                  <w:shd w:val="clear" w:color="auto" w:fill="auto"/>
                </w:tcPr>
                <w:p w:rsidR="00F840AB" w:rsidRPr="008649BF" w:rsidRDefault="00785B9B" w:rsidP="00785B9B">
                  <w:pPr>
                    <w:rPr>
                      <w:rFonts w:ascii="Calibri" w:hAnsi="Calibri" w:cs="Arial"/>
                      <w:color w:val="002060"/>
                      <w:lang w:val="el-GR"/>
                    </w:rPr>
                  </w:pPr>
                  <w:r>
                    <w:rPr>
                      <w:rFonts w:ascii="Calibri" w:hAnsi="Calibri" w:cs="Arial"/>
                      <w:color w:val="002060"/>
                      <w:lang w:val="el-GR"/>
                    </w:rPr>
                    <w:t>Ασκήσεις</w:t>
                  </w:r>
                </w:p>
              </w:tc>
              <w:tc>
                <w:tcPr>
                  <w:tcW w:w="2468" w:type="dxa"/>
                </w:tcPr>
                <w:p w:rsidR="00F840AB" w:rsidRPr="003B45BC" w:rsidRDefault="008649BF" w:rsidP="00050B81">
                  <w:pPr>
                    <w:jc w:val="center"/>
                    <w:rPr>
                      <w:rFonts w:ascii="Calibri" w:hAnsi="Calibri" w:cs="Arial"/>
                      <w:color w:val="002060"/>
                      <w:lang w:val="el-GR"/>
                    </w:rPr>
                  </w:pPr>
                  <w:r>
                    <w:rPr>
                      <w:rFonts w:ascii="Calibri" w:hAnsi="Calibri" w:cs="Arial"/>
                      <w:color w:val="002060"/>
                      <w:lang w:val="el-GR"/>
                    </w:rPr>
                    <w:t>8</w:t>
                  </w:r>
                </w:p>
              </w:tc>
            </w:tr>
            <w:tr w:rsidR="008649BF" w:rsidRPr="00050B81" w:rsidTr="00050B81">
              <w:tc>
                <w:tcPr>
                  <w:tcW w:w="2467" w:type="dxa"/>
                  <w:shd w:val="clear" w:color="auto" w:fill="auto"/>
                </w:tcPr>
                <w:p w:rsidR="008649BF" w:rsidRPr="00B25922" w:rsidRDefault="00785B9B" w:rsidP="00785B9B">
                  <w:pPr>
                    <w:rPr>
                      <w:rFonts w:ascii="Calibri" w:hAnsi="Calibri" w:cs="Arial"/>
                      <w:color w:val="002060"/>
                      <w:lang w:val="el-GR"/>
                    </w:rPr>
                  </w:pPr>
                  <w:r>
                    <w:rPr>
                      <w:rFonts w:ascii="Calibri" w:hAnsi="Calibri" w:cs="Arial"/>
                      <w:color w:val="002060"/>
                      <w:lang w:val="el-GR"/>
                    </w:rPr>
                    <w:t>Ασκήσεις στο σπίτι</w:t>
                  </w:r>
                </w:p>
              </w:tc>
              <w:tc>
                <w:tcPr>
                  <w:tcW w:w="2468" w:type="dxa"/>
                </w:tcPr>
                <w:p w:rsidR="008649BF" w:rsidRPr="003B45BC" w:rsidRDefault="00785B9B" w:rsidP="00785B9B">
                  <w:pPr>
                    <w:jc w:val="center"/>
                    <w:rPr>
                      <w:rFonts w:ascii="Calibri" w:hAnsi="Calibri" w:cs="Arial"/>
                      <w:color w:val="002060"/>
                      <w:lang w:val="el-GR"/>
                    </w:rPr>
                  </w:pPr>
                  <w:r>
                    <w:rPr>
                      <w:rFonts w:ascii="Calibri" w:hAnsi="Calibri" w:cs="Arial"/>
                      <w:color w:val="002060"/>
                      <w:lang w:val="el-GR"/>
                    </w:rPr>
                    <w:t>16</w:t>
                  </w:r>
                </w:p>
              </w:tc>
            </w:tr>
            <w:tr w:rsidR="00785B9B" w:rsidRPr="00050B81" w:rsidTr="00050B81">
              <w:tc>
                <w:tcPr>
                  <w:tcW w:w="2467" w:type="dxa"/>
                  <w:shd w:val="clear" w:color="auto" w:fill="auto"/>
                </w:tcPr>
                <w:p w:rsidR="00785B9B" w:rsidRPr="00B25922" w:rsidRDefault="00785B9B" w:rsidP="000D278D">
                  <w:pPr>
                    <w:rPr>
                      <w:rFonts w:ascii="Calibri" w:hAnsi="Calibri" w:cs="Arial"/>
                      <w:color w:val="002060"/>
                      <w:lang w:val="el-GR"/>
                    </w:rPr>
                  </w:pPr>
                  <w:r>
                    <w:rPr>
                      <w:rFonts w:ascii="Calibri" w:hAnsi="Calibri" w:cs="Arial"/>
                      <w:color w:val="002060"/>
                      <w:lang w:val="el-GR"/>
                    </w:rPr>
                    <w:lastRenderedPageBreak/>
                    <w:t>Μελέτη και Ανάλυση Βιβλιογραφίας</w:t>
                  </w:r>
                </w:p>
              </w:tc>
              <w:tc>
                <w:tcPr>
                  <w:tcW w:w="2468" w:type="dxa"/>
                </w:tcPr>
                <w:p w:rsidR="00785B9B" w:rsidRPr="003B45BC" w:rsidRDefault="00785B9B" w:rsidP="00785B9B">
                  <w:pPr>
                    <w:jc w:val="center"/>
                    <w:rPr>
                      <w:rFonts w:ascii="Calibri" w:hAnsi="Calibri" w:cs="Arial"/>
                      <w:color w:val="002060"/>
                      <w:lang w:val="el-GR"/>
                    </w:rPr>
                  </w:pPr>
                  <w:r>
                    <w:rPr>
                      <w:rFonts w:ascii="Calibri" w:hAnsi="Calibri" w:cs="Arial"/>
                      <w:color w:val="002060"/>
                      <w:lang w:val="el-GR"/>
                    </w:rPr>
                    <w:t>57</w:t>
                  </w:r>
                </w:p>
              </w:tc>
            </w:tr>
            <w:tr w:rsidR="00785B9B" w:rsidRPr="00050B81" w:rsidTr="00050B81">
              <w:tc>
                <w:tcPr>
                  <w:tcW w:w="2467" w:type="dxa"/>
                  <w:shd w:val="clear" w:color="auto" w:fill="auto"/>
                </w:tcPr>
                <w:p w:rsidR="00785B9B" w:rsidRPr="00B25922" w:rsidRDefault="00785B9B" w:rsidP="008343A9">
                  <w:pPr>
                    <w:rPr>
                      <w:rFonts w:ascii="Calibri" w:hAnsi="Calibri" w:cs="Arial"/>
                      <w:i/>
                      <w:color w:val="002060"/>
                      <w:sz w:val="16"/>
                      <w:szCs w:val="16"/>
                      <w:lang w:val="el-GR"/>
                    </w:rPr>
                  </w:pPr>
                </w:p>
              </w:tc>
              <w:tc>
                <w:tcPr>
                  <w:tcW w:w="2468" w:type="dxa"/>
                </w:tcPr>
                <w:p w:rsidR="00785B9B" w:rsidRPr="003B45BC" w:rsidRDefault="00785B9B" w:rsidP="008343A9">
                  <w:pPr>
                    <w:rPr>
                      <w:rFonts w:ascii="Calibri" w:hAnsi="Calibri" w:cs="Arial"/>
                      <w:i/>
                      <w:color w:val="002060"/>
                      <w:sz w:val="16"/>
                      <w:szCs w:val="16"/>
                      <w:lang w:val="el-GR"/>
                    </w:rPr>
                  </w:pPr>
                </w:p>
              </w:tc>
            </w:tr>
            <w:tr w:rsidR="00785B9B" w:rsidRPr="00050B81" w:rsidTr="00050B81">
              <w:tc>
                <w:tcPr>
                  <w:tcW w:w="2467" w:type="dxa"/>
                  <w:shd w:val="clear" w:color="auto" w:fill="auto"/>
                </w:tcPr>
                <w:p w:rsidR="00785B9B" w:rsidRPr="00B25922" w:rsidRDefault="00785B9B" w:rsidP="008343A9">
                  <w:pPr>
                    <w:rPr>
                      <w:rFonts w:ascii="Calibri" w:hAnsi="Calibri" w:cs="Arial"/>
                      <w:i/>
                      <w:color w:val="002060"/>
                      <w:sz w:val="16"/>
                      <w:szCs w:val="16"/>
                      <w:lang w:val="el-GR"/>
                    </w:rPr>
                  </w:pPr>
                </w:p>
              </w:tc>
              <w:tc>
                <w:tcPr>
                  <w:tcW w:w="2468" w:type="dxa"/>
                </w:tcPr>
                <w:p w:rsidR="00785B9B" w:rsidRPr="003B45BC" w:rsidRDefault="00785B9B" w:rsidP="008343A9">
                  <w:pPr>
                    <w:rPr>
                      <w:rFonts w:ascii="Calibri" w:hAnsi="Calibri" w:cs="Arial"/>
                      <w:i/>
                      <w:color w:val="002060"/>
                      <w:sz w:val="16"/>
                      <w:szCs w:val="16"/>
                      <w:lang w:val="el-GR"/>
                    </w:rPr>
                  </w:pPr>
                </w:p>
              </w:tc>
            </w:tr>
            <w:tr w:rsidR="00785B9B" w:rsidRPr="00050B81" w:rsidTr="00050B81">
              <w:tc>
                <w:tcPr>
                  <w:tcW w:w="2467" w:type="dxa"/>
                  <w:shd w:val="clear" w:color="auto" w:fill="auto"/>
                </w:tcPr>
                <w:p w:rsidR="00785B9B" w:rsidRPr="00B25922" w:rsidRDefault="00785B9B" w:rsidP="008343A9">
                  <w:pPr>
                    <w:rPr>
                      <w:rFonts w:ascii="Calibri" w:hAnsi="Calibri" w:cs="Arial"/>
                      <w:i/>
                      <w:color w:val="002060"/>
                      <w:sz w:val="16"/>
                      <w:szCs w:val="16"/>
                      <w:lang w:val="el-GR"/>
                    </w:rPr>
                  </w:pPr>
                </w:p>
              </w:tc>
              <w:tc>
                <w:tcPr>
                  <w:tcW w:w="2468" w:type="dxa"/>
                </w:tcPr>
                <w:p w:rsidR="00785B9B" w:rsidRPr="003B45BC" w:rsidRDefault="00785B9B" w:rsidP="008343A9">
                  <w:pPr>
                    <w:rPr>
                      <w:rFonts w:ascii="Calibri" w:hAnsi="Calibri" w:cs="Arial"/>
                      <w:i/>
                      <w:color w:val="002060"/>
                      <w:sz w:val="16"/>
                      <w:szCs w:val="16"/>
                      <w:lang w:val="el-GR"/>
                    </w:rPr>
                  </w:pPr>
                </w:p>
              </w:tc>
            </w:tr>
            <w:tr w:rsidR="00785B9B" w:rsidRPr="00050B81" w:rsidTr="00050B81">
              <w:tc>
                <w:tcPr>
                  <w:tcW w:w="2467" w:type="dxa"/>
                  <w:shd w:val="clear" w:color="auto" w:fill="auto"/>
                </w:tcPr>
                <w:p w:rsidR="00785B9B" w:rsidRPr="00B25922" w:rsidRDefault="00785B9B" w:rsidP="008343A9">
                  <w:pPr>
                    <w:rPr>
                      <w:rFonts w:ascii="Calibri" w:hAnsi="Calibri" w:cs="Arial"/>
                      <w:color w:val="002060"/>
                      <w:lang w:val="el-GR"/>
                    </w:rPr>
                  </w:pPr>
                </w:p>
              </w:tc>
              <w:tc>
                <w:tcPr>
                  <w:tcW w:w="2468" w:type="dxa"/>
                </w:tcPr>
                <w:p w:rsidR="00785B9B" w:rsidRPr="003B45BC" w:rsidRDefault="00785B9B" w:rsidP="008343A9">
                  <w:pPr>
                    <w:jc w:val="center"/>
                    <w:rPr>
                      <w:rFonts w:ascii="Calibri" w:hAnsi="Calibri" w:cs="Arial"/>
                      <w:color w:val="002060"/>
                      <w:lang w:val="el-GR"/>
                    </w:rPr>
                  </w:pPr>
                </w:p>
              </w:tc>
            </w:tr>
            <w:tr w:rsidR="00785B9B" w:rsidRPr="00050B81" w:rsidTr="00907017">
              <w:tc>
                <w:tcPr>
                  <w:tcW w:w="2467" w:type="dxa"/>
                </w:tcPr>
                <w:p w:rsidR="00785B9B" w:rsidRDefault="00785B9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785B9B" w:rsidRPr="003B45BC" w:rsidRDefault="00785B9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785B9B" w:rsidRPr="003B45BC" w:rsidRDefault="00785B9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8343A9">
              <w:rPr>
                <w:iCs/>
                <w:color w:val="002060"/>
              </w:rPr>
              <w:t>Γραπτή τελική εξέταση (</w:t>
            </w:r>
            <w:r w:rsidR="00F840AB">
              <w:rPr>
                <w:iCs/>
                <w:color w:val="002060"/>
              </w:rPr>
              <w:t>10</w:t>
            </w:r>
            <w:r w:rsidRPr="008343A9">
              <w:rPr>
                <w:iCs/>
                <w:color w:val="002060"/>
              </w:rPr>
              <w:t>0%) που περιλαμβάνει:</w:t>
            </w:r>
          </w:p>
          <w:p w:rsidR="00785B9B" w:rsidRDefault="00785B9B" w:rsidP="00785B9B">
            <w:pPr>
              <w:pStyle w:val="ListParagraph"/>
              <w:numPr>
                <w:ilvl w:val="2"/>
                <w:numId w:val="12"/>
              </w:numPr>
              <w:spacing w:after="0" w:line="240" w:lineRule="auto"/>
              <w:ind w:left="564"/>
              <w:rPr>
                <w:iCs/>
                <w:color w:val="002060"/>
              </w:rPr>
            </w:pPr>
            <w:r>
              <w:rPr>
                <w:iCs/>
                <w:color w:val="002060"/>
              </w:rPr>
              <w:t>Ερωτήσεις  πολλαπλής επιλογής</w:t>
            </w:r>
          </w:p>
          <w:p w:rsidR="00785B9B" w:rsidRDefault="00785B9B" w:rsidP="00785B9B">
            <w:pPr>
              <w:pStyle w:val="ListParagraph"/>
              <w:numPr>
                <w:ilvl w:val="2"/>
                <w:numId w:val="12"/>
              </w:numPr>
              <w:spacing w:after="0" w:line="240" w:lineRule="auto"/>
              <w:ind w:left="564"/>
              <w:rPr>
                <w:iCs/>
                <w:color w:val="002060"/>
              </w:rPr>
            </w:pPr>
            <w:r>
              <w:rPr>
                <w:iCs/>
                <w:color w:val="002060"/>
              </w:rPr>
              <w:t>Ερωτήσεις κρίσεως ανοιχτού τύπου</w:t>
            </w:r>
          </w:p>
          <w:p w:rsidR="00050B81" w:rsidRPr="00F840AB" w:rsidRDefault="00785B9B" w:rsidP="00785B9B">
            <w:pPr>
              <w:pStyle w:val="ListParagraph"/>
              <w:numPr>
                <w:ilvl w:val="2"/>
                <w:numId w:val="12"/>
              </w:numPr>
              <w:spacing w:after="0" w:line="240" w:lineRule="auto"/>
              <w:ind w:left="564"/>
              <w:rPr>
                <w:iCs/>
                <w:color w:val="002060"/>
              </w:rPr>
            </w:pPr>
            <w:r>
              <w:rPr>
                <w:iCs/>
                <w:color w:val="002060"/>
              </w:rPr>
              <w:t>Ασκήσεις</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03B5" w:rsidTr="00BF6D32">
        <w:tc>
          <w:tcPr>
            <w:tcW w:w="8472" w:type="dxa"/>
          </w:tcPr>
          <w:p w:rsidR="00DD1D8F" w:rsidRPr="00881D72" w:rsidRDefault="00DD1D8F" w:rsidP="00DD1D8F">
            <w:pPr>
              <w:pStyle w:val="Default"/>
              <w:numPr>
                <w:ilvl w:val="0"/>
                <w:numId w:val="20"/>
              </w:numPr>
              <w:rPr>
                <w:rFonts w:asciiTheme="minorHAnsi" w:hAnsiTheme="minorHAnsi"/>
                <w:color w:val="17365D" w:themeColor="text2" w:themeShade="BF"/>
                <w:sz w:val="22"/>
                <w:szCs w:val="22"/>
              </w:rPr>
            </w:pPr>
            <w:proofErr w:type="spellStart"/>
            <w:r w:rsidRPr="00881D72">
              <w:rPr>
                <w:rFonts w:asciiTheme="minorHAnsi" w:hAnsiTheme="minorHAnsi"/>
                <w:color w:val="17365D" w:themeColor="text2" w:themeShade="BF"/>
                <w:sz w:val="22"/>
                <w:szCs w:val="22"/>
              </w:rPr>
              <w:t>Krugman</w:t>
            </w:r>
            <w:proofErr w:type="spellEnd"/>
            <w:r w:rsidRPr="00881D72">
              <w:rPr>
                <w:rFonts w:asciiTheme="minorHAnsi" w:hAnsiTheme="minorHAnsi"/>
                <w:color w:val="17365D" w:themeColor="text2" w:themeShade="BF"/>
                <w:sz w:val="22"/>
                <w:szCs w:val="22"/>
              </w:rPr>
              <w:t xml:space="preserve"> P. </w:t>
            </w:r>
            <w:proofErr w:type="spellStart"/>
            <w:r w:rsidRPr="00881D72">
              <w:rPr>
                <w:rFonts w:asciiTheme="minorHAnsi" w:hAnsiTheme="minorHAnsi"/>
                <w:color w:val="17365D" w:themeColor="text2" w:themeShade="BF"/>
                <w:sz w:val="22"/>
                <w:szCs w:val="22"/>
              </w:rPr>
              <w:t>Obstfield</w:t>
            </w:r>
            <w:proofErr w:type="spellEnd"/>
            <w:r w:rsidRPr="00881D72">
              <w:rPr>
                <w:rFonts w:asciiTheme="minorHAnsi" w:hAnsiTheme="minorHAnsi"/>
                <w:color w:val="17365D" w:themeColor="text2" w:themeShade="BF"/>
                <w:sz w:val="22"/>
                <w:szCs w:val="22"/>
              </w:rPr>
              <w:t xml:space="preserve"> M., ΔΙΕΘΝΗΣ ΟΙΚΟΝΟΜΙΚΗ, Θεωρία και Πολιτική», Νέα Αναθεωρημένη Έκδοση, Εκδόσεις Κριτική </w:t>
            </w:r>
            <w:r w:rsidR="0009325A" w:rsidRPr="00881D72">
              <w:rPr>
                <w:rFonts w:asciiTheme="minorHAnsi" w:hAnsiTheme="minorHAnsi"/>
                <w:color w:val="17365D" w:themeColor="text2" w:themeShade="BF"/>
                <w:sz w:val="22"/>
                <w:szCs w:val="22"/>
              </w:rPr>
              <w:t>(Κωδικός Βιβλίου στον Εύδοξο: 7648537)</w:t>
            </w:r>
          </w:p>
          <w:p w:rsidR="00785B9B" w:rsidRPr="00881D72" w:rsidRDefault="00785B9B" w:rsidP="00DD1D8F">
            <w:pPr>
              <w:pStyle w:val="Default"/>
              <w:numPr>
                <w:ilvl w:val="0"/>
                <w:numId w:val="20"/>
              </w:numPr>
              <w:rPr>
                <w:rFonts w:asciiTheme="minorHAnsi" w:hAnsiTheme="minorHAnsi"/>
                <w:color w:val="17365D" w:themeColor="text2" w:themeShade="BF"/>
                <w:sz w:val="22"/>
                <w:szCs w:val="22"/>
              </w:rPr>
            </w:pPr>
            <w:r w:rsidRPr="00881D72">
              <w:rPr>
                <w:rFonts w:asciiTheme="minorHAnsi" w:hAnsiTheme="minorHAnsi"/>
                <w:color w:val="17365D" w:themeColor="text2" w:themeShade="BF"/>
                <w:sz w:val="22"/>
                <w:szCs w:val="22"/>
              </w:rPr>
              <w:t xml:space="preserve">Αλογοσκούφης Γιώργος, 2013, Διεθνής Οικονομική και Παγκόσμια Οικονομία, Εκδόσεις </w:t>
            </w:r>
            <w:r w:rsidRPr="00881D72">
              <w:rPr>
                <w:rFonts w:asciiTheme="minorHAnsi" w:hAnsiTheme="minorHAnsi"/>
                <w:color w:val="17365D" w:themeColor="text2" w:themeShade="BF"/>
                <w:sz w:val="22"/>
                <w:szCs w:val="22"/>
                <w:lang w:val="en-US"/>
              </w:rPr>
              <w:t>Gutenberg</w:t>
            </w:r>
            <w:r w:rsidR="00881D72" w:rsidRPr="00881D72">
              <w:rPr>
                <w:rFonts w:asciiTheme="minorHAnsi" w:hAnsiTheme="minorHAnsi"/>
                <w:color w:val="17365D" w:themeColor="text2" w:themeShade="BF"/>
                <w:sz w:val="22"/>
                <w:szCs w:val="22"/>
              </w:rPr>
              <w:t xml:space="preserve"> (Κωδικός Βιβλίου στον Εύδοξο: 32998816)</w:t>
            </w:r>
          </w:p>
          <w:p w:rsidR="00785B9B" w:rsidRPr="00881D72" w:rsidRDefault="00785B9B" w:rsidP="00DD1D8F">
            <w:pPr>
              <w:pStyle w:val="Default"/>
              <w:numPr>
                <w:ilvl w:val="0"/>
                <w:numId w:val="20"/>
              </w:numPr>
              <w:rPr>
                <w:rFonts w:asciiTheme="minorHAnsi" w:hAnsiTheme="minorHAnsi"/>
                <w:color w:val="17365D" w:themeColor="text2" w:themeShade="BF"/>
                <w:sz w:val="22"/>
                <w:szCs w:val="22"/>
              </w:rPr>
            </w:pPr>
            <w:proofErr w:type="spellStart"/>
            <w:r w:rsidRPr="00881D72">
              <w:rPr>
                <w:rFonts w:asciiTheme="minorHAnsi" w:hAnsiTheme="minorHAnsi"/>
                <w:color w:val="17365D" w:themeColor="text2" w:themeShade="BF"/>
                <w:sz w:val="22"/>
                <w:szCs w:val="22"/>
                <w:lang w:val="en-US"/>
              </w:rPr>
              <w:t>Feenstra</w:t>
            </w:r>
            <w:proofErr w:type="spellEnd"/>
            <w:r w:rsidRPr="00881D72">
              <w:rPr>
                <w:rFonts w:asciiTheme="minorHAnsi" w:hAnsiTheme="minorHAnsi"/>
                <w:color w:val="17365D" w:themeColor="text2" w:themeShade="BF"/>
                <w:sz w:val="22"/>
                <w:szCs w:val="22"/>
              </w:rPr>
              <w:t xml:space="preserve">, </w:t>
            </w:r>
            <w:r w:rsidRPr="00881D72">
              <w:rPr>
                <w:rFonts w:asciiTheme="minorHAnsi" w:hAnsiTheme="minorHAnsi"/>
                <w:color w:val="17365D" w:themeColor="text2" w:themeShade="BF"/>
                <w:sz w:val="22"/>
                <w:szCs w:val="22"/>
                <w:lang w:val="en-US"/>
              </w:rPr>
              <w:t>R</w:t>
            </w:r>
            <w:r w:rsidRPr="00881D72">
              <w:rPr>
                <w:rFonts w:asciiTheme="minorHAnsi" w:hAnsiTheme="minorHAnsi"/>
                <w:color w:val="17365D" w:themeColor="text2" w:themeShade="BF"/>
                <w:sz w:val="22"/>
                <w:szCs w:val="22"/>
              </w:rPr>
              <w:t xml:space="preserve">., </w:t>
            </w:r>
            <w:r w:rsidRPr="00881D72">
              <w:rPr>
                <w:rFonts w:asciiTheme="minorHAnsi" w:hAnsiTheme="minorHAnsi"/>
                <w:color w:val="17365D" w:themeColor="text2" w:themeShade="BF"/>
                <w:sz w:val="22"/>
                <w:szCs w:val="22"/>
                <w:lang w:val="en-US"/>
              </w:rPr>
              <w:t>Taylor</w:t>
            </w:r>
            <w:r w:rsidRPr="00881D72">
              <w:rPr>
                <w:rFonts w:asciiTheme="minorHAnsi" w:hAnsiTheme="minorHAnsi"/>
                <w:color w:val="17365D" w:themeColor="text2" w:themeShade="BF"/>
                <w:sz w:val="22"/>
                <w:szCs w:val="22"/>
              </w:rPr>
              <w:t xml:space="preserve"> </w:t>
            </w:r>
            <w:r w:rsidRPr="00881D72">
              <w:rPr>
                <w:rFonts w:asciiTheme="minorHAnsi" w:hAnsiTheme="minorHAnsi"/>
                <w:color w:val="17365D" w:themeColor="text2" w:themeShade="BF"/>
                <w:sz w:val="22"/>
                <w:szCs w:val="22"/>
                <w:lang w:val="en-US"/>
              </w:rPr>
              <w:t>A</w:t>
            </w:r>
            <w:r w:rsidRPr="00881D72">
              <w:rPr>
                <w:rFonts w:asciiTheme="minorHAnsi" w:hAnsiTheme="minorHAnsi"/>
                <w:color w:val="17365D" w:themeColor="text2" w:themeShade="BF"/>
                <w:sz w:val="22"/>
                <w:szCs w:val="22"/>
              </w:rPr>
              <w:t>., 2012, Διεθνής Οικονομική, Εκδόσεις Επίκεντρο</w:t>
            </w:r>
            <w:r w:rsidR="00881D72" w:rsidRPr="00881D72">
              <w:rPr>
                <w:rFonts w:asciiTheme="minorHAnsi" w:hAnsiTheme="minorHAnsi"/>
                <w:color w:val="17365D" w:themeColor="text2" w:themeShade="BF"/>
                <w:sz w:val="22"/>
                <w:szCs w:val="22"/>
              </w:rPr>
              <w:t xml:space="preserve"> (Κωδικός Βιβλίου στον Εύδοξο: 22767614)</w:t>
            </w:r>
          </w:p>
          <w:p w:rsidR="008A3445" w:rsidRPr="001A03B5" w:rsidRDefault="00DD1D8F" w:rsidP="00785B9B">
            <w:pPr>
              <w:pStyle w:val="ListParagraph"/>
              <w:numPr>
                <w:ilvl w:val="0"/>
                <w:numId w:val="20"/>
              </w:numPr>
              <w:spacing w:after="0" w:line="240" w:lineRule="auto"/>
              <w:jc w:val="both"/>
              <w:rPr>
                <w:rFonts w:ascii="Calibri" w:eastAsia="Times New Roman" w:hAnsi="Calibri" w:cs="Arial"/>
                <w:b/>
                <w:sz w:val="20"/>
                <w:szCs w:val="20"/>
              </w:rPr>
            </w:pPr>
            <w:proofErr w:type="spellStart"/>
            <w:r w:rsidRPr="00881D72">
              <w:rPr>
                <w:color w:val="17365D" w:themeColor="text2" w:themeShade="BF"/>
              </w:rPr>
              <w:t>Kenen</w:t>
            </w:r>
            <w:proofErr w:type="spellEnd"/>
            <w:r w:rsidRPr="00881D72">
              <w:rPr>
                <w:color w:val="17365D" w:themeColor="text2" w:themeShade="BF"/>
              </w:rPr>
              <w:t xml:space="preserve">, </w:t>
            </w:r>
            <w:r w:rsidRPr="00881D72">
              <w:rPr>
                <w:color w:val="17365D" w:themeColor="text2" w:themeShade="BF"/>
                <w:lang w:val="en-US"/>
              </w:rPr>
              <w:t>P</w:t>
            </w:r>
            <w:r w:rsidRPr="00881D72">
              <w:rPr>
                <w:color w:val="17365D" w:themeColor="text2" w:themeShade="BF"/>
              </w:rPr>
              <w:t xml:space="preserve">., Διεθνής Οικονομική, </w:t>
            </w:r>
            <w:r w:rsidR="00785B9B" w:rsidRPr="00881D72">
              <w:rPr>
                <w:color w:val="17365D" w:themeColor="text2" w:themeShade="BF"/>
              </w:rPr>
              <w:t xml:space="preserve">1999, Τόμος Α, </w:t>
            </w:r>
            <w:r w:rsidRPr="00881D72">
              <w:rPr>
                <w:color w:val="17365D" w:themeColor="text2" w:themeShade="BF"/>
              </w:rPr>
              <w:t>Εκδόσεις ΠΑΠΑΖΗΣΗ</w:t>
            </w:r>
            <w:r w:rsidR="00881D72" w:rsidRPr="00881D72">
              <w:rPr>
                <w:color w:val="17365D" w:themeColor="text2" w:themeShade="BF"/>
              </w:rPr>
              <w:t xml:space="preserve"> (Κωδικός Βιβλίου στον Εύδοξο: 29913)</w:t>
            </w:r>
          </w:p>
        </w:tc>
      </w:tr>
    </w:tbl>
    <w:p w:rsidR="00050B81" w:rsidRPr="001A03B5" w:rsidRDefault="00050B81" w:rsidP="00050B81">
      <w:pPr>
        <w:spacing w:after="0" w:line="240" w:lineRule="auto"/>
        <w:jc w:val="both"/>
        <w:rPr>
          <w:rFonts w:ascii="Cambria" w:eastAsia="Times New Roman" w:hAnsi="Cambria" w:cs="Times New Roman"/>
          <w:sz w:val="20"/>
          <w:szCs w:val="24"/>
        </w:rPr>
      </w:pPr>
    </w:p>
    <w:p w:rsidR="00050B81" w:rsidRPr="001A03B5" w:rsidRDefault="00050B81" w:rsidP="00050B81">
      <w:pPr>
        <w:spacing w:after="0" w:line="240" w:lineRule="auto"/>
        <w:rPr>
          <w:rFonts w:ascii="Times New Roman" w:eastAsia="Times New Roman" w:hAnsi="Times New Roman" w:cs="Times New Roman"/>
          <w:sz w:val="24"/>
          <w:szCs w:val="24"/>
        </w:rPr>
      </w:pPr>
    </w:p>
    <w:p w:rsidR="00B66EDB" w:rsidRPr="001A03B5" w:rsidRDefault="00B66EDB"/>
    <w:sectPr w:rsidR="00B66EDB" w:rsidRPr="001A03B5" w:rsidSect="00935E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A726B"/>
    <w:multiLevelType w:val="hybridMultilevel"/>
    <w:tmpl w:val="39164CEE"/>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903DF"/>
    <w:multiLevelType w:val="hybridMultilevel"/>
    <w:tmpl w:val="576E75AC"/>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9B091E"/>
    <w:multiLevelType w:val="hybridMultilevel"/>
    <w:tmpl w:val="DB98E49A"/>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B4841"/>
    <w:multiLevelType w:val="hybridMultilevel"/>
    <w:tmpl w:val="48B84FB4"/>
    <w:lvl w:ilvl="0" w:tplc="D712623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86FF5"/>
    <w:multiLevelType w:val="hybridMultilevel"/>
    <w:tmpl w:val="D0FC0D5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C1BA2"/>
    <w:multiLevelType w:val="hybridMultilevel"/>
    <w:tmpl w:val="73528662"/>
    <w:lvl w:ilvl="0" w:tplc="04080001">
      <w:start w:val="1"/>
      <w:numFmt w:val="bullet"/>
      <w:lvlText w:val=""/>
      <w:lvlJc w:val="left"/>
      <w:pPr>
        <w:ind w:left="1174" w:hanging="360"/>
      </w:pPr>
      <w:rPr>
        <w:rFonts w:ascii="Symbol" w:hAnsi="Symbol" w:hint="default"/>
      </w:rPr>
    </w:lvl>
    <w:lvl w:ilvl="1" w:tplc="A6B6484E">
      <w:numFmt w:val="bullet"/>
      <w:lvlText w:val="•"/>
      <w:lvlJc w:val="left"/>
      <w:pPr>
        <w:ind w:left="2254" w:hanging="720"/>
      </w:pPr>
      <w:rPr>
        <w:rFonts w:ascii="Calibri" w:eastAsia="Times New Roman" w:hAnsi="Calibri" w:cs="Arial"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7" w15:restartNumberingAfterBreak="0">
    <w:nsid w:val="6D5A55E1"/>
    <w:multiLevelType w:val="hybridMultilevel"/>
    <w:tmpl w:val="DDFA69FC"/>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16"/>
  </w:num>
  <w:num w:numId="4">
    <w:abstractNumId w:val="18"/>
  </w:num>
  <w:num w:numId="5">
    <w:abstractNumId w:val="18"/>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8"/>
  </w:num>
  <w:num w:numId="8">
    <w:abstractNumId w:val="0"/>
  </w:num>
  <w:num w:numId="9">
    <w:abstractNumId w:val="7"/>
  </w:num>
  <w:num w:numId="10">
    <w:abstractNumId w:val="4"/>
  </w:num>
  <w:num w:numId="11">
    <w:abstractNumId w:val="14"/>
  </w:num>
  <w:num w:numId="12">
    <w:abstractNumId w:val="2"/>
  </w:num>
  <w:num w:numId="13">
    <w:abstractNumId w:val="15"/>
  </w:num>
  <w:num w:numId="14">
    <w:abstractNumId w:val="19"/>
  </w:num>
  <w:num w:numId="15">
    <w:abstractNumId w:val="1"/>
  </w:num>
  <w:num w:numId="16">
    <w:abstractNumId w:val="17"/>
  </w:num>
  <w:num w:numId="17">
    <w:abstractNumId w:val="10"/>
  </w:num>
  <w:num w:numId="18">
    <w:abstractNumId w:val="5"/>
  </w:num>
  <w:num w:numId="19">
    <w:abstractNumId w:val="12"/>
  </w:num>
  <w:num w:numId="20">
    <w:abstractNumId w:val="6"/>
  </w:num>
  <w:num w:numId="21">
    <w:abstractNumId w:val="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56ECC"/>
    <w:rsid w:val="00062F72"/>
    <w:rsid w:val="00087A17"/>
    <w:rsid w:val="0009325A"/>
    <w:rsid w:val="000D793E"/>
    <w:rsid w:val="000F1E0B"/>
    <w:rsid w:val="00113E20"/>
    <w:rsid w:val="00114C98"/>
    <w:rsid w:val="00121626"/>
    <w:rsid w:val="001A03B5"/>
    <w:rsid w:val="001A3F9B"/>
    <w:rsid w:val="001C0721"/>
    <w:rsid w:val="001D341B"/>
    <w:rsid w:val="002059C8"/>
    <w:rsid w:val="00222DA9"/>
    <w:rsid w:val="002743E3"/>
    <w:rsid w:val="002B0F35"/>
    <w:rsid w:val="00325152"/>
    <w:rsid w:val="003377EE"/>
    <w:rsid w:val="00366987"/>
    <w:rsid w:val="00374593"/>
    <w:rsid w:val="003966D9"/>
    <w:rsid w:val="003B2A0C"/>
    <w:rsid w:val="003B45BC"/>
    <w:rsid w:val="00425149"/>
    <w:rsid w:val="004770A1"/>
    <w:rsid w:val="00570308"/>
    <w:rsid w:val="0058624C"/>
    <w:rsid w:val="0063019F"/>
    <w:rsid w:val="006478B7"/>
    <w:rsid w:val="006641F8"/>
    <w:rsid w:val="0066632E"/>
    <w:rsid w:val="00681300"/>
    <w:rsid w:val="006A4FF2"/>
    <w:rsid w:val="006C1EDF"/>
    <w:rsid w:val="007144D5"/>
    <w:rsid w:val="00726337"/>
    <w:rsid w:val="0073357A"/>
    <w:rsid w:val="00736584"/>
    <w:rsid w:val="00785B9B"/>
    <w:rsid w:val="008343A9"/>
    <w:rsid w:val="00852FDD"/>
    <w:rsid w:val="008649BF"/>
    <w:rsid w:val="00881D72"/>
    <w:rsid w:val="008A3445"/>
    <w:rsid w:val="00907017"/>
    <w:rsid w:val="00914A5B"/>
    <w:rsid w:val="00935EAC"/>
    <w:rsid w:val="0094416F"/>
    <w:rsid w:val="00974C95"/>
    <w:rsid w:val="00A33000"/>
    <w:rsid w:val="00A45BD0"/>
    <w:rsid w:val="00B25922"/>
    <w:rsid w:val="00B425BF"/>
    <w:rsid w:val="00B66EDB"/>
    <w:rsid w:val="00B82D70"/>
    <w:rsid w:val="00BA3474"/>
    <w:rsid w:val="00BB5C14"/>
    <w:rsid w:val="00C712D5"/>
    <w:rsid w:val="00CE6E75"/>
    <w:rsid w:val="00D57036"/>
    <w:rsid w:val="00DC17E6"/>
    <w:rsid w:val="00DC6A5A"/>
    <w:rsid w:val="00DD1D8F"/>
    <w:rsid w:val="00DE541C"/>
    <w:rsid w:val="00EA1E0D"/>
    <w:rsid w:val="00EB7B93"/>
    <w:rsid w:val="00F1731B"/>
    <w:rsid w:val="00F840AB"/>
    <w:rsid w:val="00FD45F5"/>
    <w:rsid w:val="00FE0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DD08A-3A76-4FD0-9C2A-C0D5F05D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8A3445"/>
    <w:rPr>
      <w:color w:val="0000FF" w:themeColor="hyperlink"/>
      <w:u w:val="single"/>
    </w:rPr>
  </w:style>
  <w:style w:type="character" w:styleId="FollowedHyperlink">
    <w:name w:val="FollowedHyperlink"/>
    <w:basedOn w:val="DefaultParagraphFont"/>
    <w:uiPriority w:val="99"/>
    <w:semiHidden/>
    <w:unhideWhenUsed/>
    <w:rsid w:val="008A3445"/>
    <w:rPr>
      <w:color w:val="800080" w:themeColor="followedHyperlink"/>
      <w:u w:val="single"/>
    </w:rPr>
  </w:style>
  <w:style w:type="paragraph" w:customStyle="1" w:styleId="Default">
    <w:name w:val="Default"/>
    <w:rsid w:val="0073357A"/>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8716594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eclass.aua.gr/courses/ETDA107/"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5878</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2026-02-20T12:09:00Z</dcterms:created>
  <dcterms:modified xsi:type="dcterms:W3CDTF">2026-02-20T12:09:00Z</dcterms:modified>
</cp:coreProperties>
</file>