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107"/>
        <w:gridCol w:w="1265"/>
        <w:gridCol w:w="1208"/>
        <w:gridCol w:w="348"/>
        <w:gridCol w:w="1237"/>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0F1E0B" w:rsidRDefault="002B0F16" w:rsidP="00050B81">
            <w:pPr>
              <w:spacing w:after="0" w:line="240" w:lineRule="auto"/>
              <w:rPr>
                <w:rFonts w:ascii="Calibri" w:eastAsia="Times New Roman" w:hAnsi="Calibri" w:cs="Arial"/>
                <w:color w:val="002060"/>
                <w:sz w:val="20"/>
                <w:szCs w:val="20"/>
              </w:rPr>
            </w:pPr>
            <w:r w:rsidRPr="00914A5B">
              <w:rPr>
                <w:rFonts w:ascii="Calibri" w:eastAsia="Times New Roman" w:hAnsi="Calibri" w:cs="Arial"/>
                <w:color w:val="002060"/>
                <w:sz w:val="20"/>
                <w:szCs w:val="20"/>
              </w:rPr>
              <w:t>Σχολή Εφαρμοσμένων Οικονομικών και Κοινωνικών Επιστημών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DE541C" w:rsidRDefault="00DE541C" w:rsidP="00325152">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D341B" w:rsidRDefault="009F257B"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3105</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2E237B" w:rsidP="002E237B">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4</w:t>
            </w:r>
            <w:r w:rsidR="001D341B">
              <w:rPr>
                <w:rFonts w:ascii="Calibri" w:eastAsia="Times New Roman" w:hAnsi="Calibri" w:cs="Arial"/>
                <w:color w:val="002060"/>
                <w:sz w:val="20"/>
                <w:szCs w:val="20"/>
                <w:vertAlign w:val="superscript"/>
              </w:rPr>
              <w:t>ο</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222DA9" w:rsidRDefault="00546EEF" w:rsidP="003B2A0C">
            <w:pPr>
              <w:spacing w:after="0" w:line="240" w:lineRule="auto"/>
              <w:rPr>
                <w:rFonts w:ascii="Calibri" w:eastAsia="Times New Roman" w:hAnsi="Calibri" w:cs="Arial"/>
                <w:sz w:val="20"/>
                <w:szCs w:val="20"/>
              </w:rPr>
            </w:pPr>
            <w:r>
              <w:rPr>
                <w:rFonts w:ascii="Calibri" w:hAnsi="Calibri" w:cs="Arial"/>
                <w:color w:val="002060"/>
                <w:sz w:val="20"/>
                <w:szCs w:val="20"/>
              </w:rPr>
              <w:t>ΜΑΚΡΟΟΙΚΟΝΟΜΙΚΗ ΙΙ</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rsidR="00050B81" w:rsidRPr="00726337" w:rsidRDefault="002743E3"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240" w:type="dxa"/>
          </w:tcPr>
          <w:p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222DA9" w:rsidRDefault="00BA3474"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546EEF" w:rsidP="00546EEF">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ΜΑΚΡΟΙΚΟΝΟΜΙΚΗ Ι</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852FDD" w:rsidRDefault="00852FDD"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Όχι</w:t>
            </w:r>
          </w:p>
        </w:tc>
      </w:tr>
      <w:tr w:rsidR="00050B81" w:rsidRPr="009F257B"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6879CB" w:rsidRPr="003B2A0C" w:rsidRDefault="009261BF" w:rsidP="006879CB">
            <w:pPr>
              <w:rPr>
                <w:rFonts w:ascii="Calibri" w:hAnsi="Calibri" w:cs="Arial"/>
                <w:color w:val="002060"/>
                <w:sz w:val="20"/>
                <w:szCs w:val="20"/>
                <w:lang w:val="en-GB"/>
              </w:rPr>
            </w:pPr>
            <w:hyperlink r:id="rId5" w:history="1">
              <w:r w:rsidR="006879CB" w:rsidRPr="005A1133">
                <w:rPr>
                  <w:rStyle w:val="Hyperlink"/>
                  <w:rFonts w:ascii="Calibri" w:hAnsi="Calibri" w:cs="Arial"/>
                  <w:sz w:val="20"/>
                  <w:szCs w:val="20"/>
                  <w:lang w:val="en-GB"/>
                </w:rPr>
                <w:t>https://openeclass.aua.gr/courses/ETDA106/</w:t>
              </w:r>
            </w:hyperlink>
          </w:p>
        </w:tc>
      </w:tr>
    </w:tbl>
    <w:p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gridCol w:w="50"/>
      </w:tblGrid>
      <w:tr w:rsidR="00050B81" w:rsidRPr="00050B81" w:rsidTr="00FC34D4">
        <w:tc>
          <w:tcPr>
            <w:tcW w:w="852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FC34D4">
        <w:tc>
          <w:tcPr>
            <w:tcW w:w="852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FC34D4">
        <w:tc>
          <w:tcPr>
            <w:tcW w:w="8522" w:type="dxa"/>
            <w:gridSpan w:val="3"/>
            <w:tcBorders>
              <w:bottom w:val="single" w:sz="4" w:space="0" w:color="auto"/>
            </w:tcBorders>
          </w:tcPr>
          <w:p w:rsidR="00632C02" w:rsidRDefault="00632C02" w:rsidP="00546EEF">
            <w:pPr>
              <w:spacing w:after="0"/>
              <w:rPr>
                <w:color w:val="17365D" w:themeColor="text2" w:themeShade="BF"/>
                <w:spacing w:val="-6"/>
                <w:u w:val="single"/>
              </w:rPr>
            </w:pPr>
          </w:p>
          <w:p w:rsidR="00546EEF" w:rsidRPr="00E32790" w:rsidRDefault="00546EEF" w:rsidP="00546EEF">
            <w:pPr>
              <w:spacing w:after="0"/>
              <w:rPr>
                <w:color w:val="17365D" w:themeColor="text2" w:themeShade="BF"/>
                <w:spacing w:val="-6"/>
                <w:u w:val="single"/>
              </w:rPr>
            </w:pPr>
            <w:r w:rsidRPr="00E32790">
              <w:rPr>
                <w:color w:val="17365D" w:themeColor="text2" w:themeShade="BF"/>
                <w:spacing w:val="-6"/>
                <w:u w:val="single"/>
              </w:rPr>
              <w:t>Με την ολοκλήρωση του μαθήματος οι φοιτητές/φοιτήτριες θα  μπορούν:</w:t>
            </w:r>
          </w:p>
          <w:p w:rsidR="00546EEF" w:rsidRPr="00E32790" w:rsidRDefault="00546EEF" w:rsidP="00FC34D4">
            <w:pPr>
              <w:numPr>
                <w:ilvl w:val="0"/>
                <w:numId w:val="24"/>
              </w:numPr>
              <w:spacing w:before="120" w:after="0" w:line="240" w:lineRule="auto"/>
              <w:ind w:left="714" w:hanging="357"/>
              <w:jc w:val="both"/>
              <w:rPr>
                <w:rFonts w:ascii="Arial Narrow" w:hAnsi="Arial Narrow"/>
                <w:color w:val="17365D" w:themeColor="text2" w:themeShade="BF"/>
                <w:spacing w:val="-6"/>
              </w:rPr>
            </w:pPr>
            <w:r w:rsidRPr="00E32790">
              <w:rPr>
                <w:rFonts w:ascii="Arial Narrow" w:hAnsi="Arial Narrow"/>
                <w:color w:val="17365D" w:themeColor="text2" w:themeShade="BF"/>
                <w:spacing w:val="-6"/>
              </w:rPr>
              <w:t>Να παρουσιάζουν τις θεωρίες κατανάλωσης, επένδυσης, οικονομικής μεγέθυνσης και ισορροπίας στην ανοικτή οικονομία</w:t>
            </w:r>
          </w:p>
          <w:p w:rsidR="00546EEF" w:rsidRPr="00E32790" w:rsidRDefault="00546EEF" w:rsidP="00FC34D4">
            <w:pPr>
              <w:numPr>
                <w:ilvl w:val="0"/>
                <w:numId w:val="24"/>
              </w:numPr>
              <w:spacing w:before="120" w:after="0" w:line="240" w:lineRule="auto"/>
              <w:ind w:left="714" w:hanging="357"/>
              <w:jc w:val="both"/>
              <w:rPr>
                <w:rFonts w:ascii="Arial Narrow" w:hAnsi="Arial Narrow"/>
                <w:color w:val="17365D" w:themeColor="text2" w:themeShade="BF"/>
                <w:spacing w:val="-6"/>
              </w:rPr>
            </w:pPr>
            <w:r w:rsidRPr="00E32790">
              <w:rPr>
                <w:rFonts w:ascii="Arial Narrow" w:hAnsi="Arial Narrow"/>
                <w:color w:val="17365D" w:themeColor="text2" w:themeShade="BF"/>
                <w:spacing w:val="-6"/>
              </w:rPr>
              <w:t xml:space="preserve">Να χρησιμοποιούν τις θεωρίες αυτές για να αναγνωρίζουν: (α) τις επιδράσεις στα επίπεδα συνολικής κατανάλωσης και επένδυσης σε μία οικονομία οικονομικής πολιτικής &amp; εξωγενών γεγονότων, (β) τον ρόλο των προσδοκιών στην μακροοικονομική, (γ) τους παράγοντες που οδηγούν σε μεγέθυνση και που μπορούν να </w:t>
            </w:r>
            <w:r w:rsidRPr="00E32790">
              <w:rPr>
                <w:rFonts w:ascii="Arial Narrow" w:hAnsi="Arial Narrow"/>
                <w:color w:val="17365D" w:themeColor="text2" w:themeShade="BF"/>
                <w:spacing w:val="-8"/>
              </w:rPr>
              <w:t>εξηγήσουν τις διαφοροποιήσεις στο κατά κεφαλή εισόδημα  μεταξύ χωρών, (δ) τους παράγοντες που</w:t>
            </w:r>
            <w:r w:rsidRPr="00E32790">
              <w:rPr>
                <w:rFonts w:ascii="Arial Narrow" w:hAnsi="Arial Narrow"/>
                <w:color w:val="17365D" w:themeColor="text2" w:themeShade="BF"/>
                <w:spacing w:val="-6"/>
              </w:rPr>
              <w:t xml:space="preserve"> επηρεάζουν τις ροές αγαθών και κεφαλαίου στις ανοικτές  οικονομίες και τη σπουδαιότητα  της διεθνούς μακροοικονομικής αλληλεξάρτησης</w:t>
            </w:r>
          </w:p>
          <w:p w:rsidR="00546EEF" w:rsidRPr="00E32790" w:rsidRDefault="00546EEF" w:rsidP="00546EEF">
            <w:pPr>
              <w:numPr>
                <w:ilvl w:val="0"/>
                <w:numId w:val="24"/>
              </w:numPr>
              <w:spacing w:after="0" w:line="240" w:lineRule="auto"/>
              <w:ind w:left="714" w:hanging="357"/>
              <w:jc w:val="both"/>
              <w:rPr>
                <w:rFonts w:ascii="Arial Narrow" w:hAnsi="Arial Narrow"/>
                <w:color w:val="17365D" w:themeColor="text2" w:themeShade="BF"/>
                <w:spacing w:val="-6"/>
              </w:rPr>
            </w:pPr>
            <w:r w:rsidRPr="00E32790">
              <w:rPr>
                <w:rFonts w:ascii="Arial Narrow" w:hAnsi="Arial Narrow"/>
                <w:color w:val="17365D" w:themeColor="text2" w:themeShade="BF"/>
                <w:spacing w:val="-6"/>
              </w:rPr>
              <w:t xml:space="preserve">Να κατανοούν την υπάρχουσα αντιπαράθεση σχετικά με τις επιδράσεις μακροοικονομικής πολιτικής </w:t>
            </w:r>
          </w:p>
          <w:p w:rsidR="00546EEF" w:rsidRPr="00E32790" w:rsidRDefault="00546EEF" w:rsidP="00546EEF">
            <w:pPr>
              <w:numPr>
                <w:ilvl w:val="0"/>
                <w:numId w:val="24"/>
              </w:numPr>
              <w:spacing w:after="0" w:line="240" w:lineRule="auto"/>
              <w:ind w:left="714" w:hanging="357"/>
              <w:jc w:val="both"/>
              <w:rPr>
                <w:rFonts w:ascii="Arial Narrow" w:hAnsi="Arial Narrow"/>
                <w:color w:val="17365D" w:themeColor="text2" w:themeShade="BF"/>
                <w:spacing w:val="-6"/>
              </w:rPr>
            </w:pPr>
            <w:r w:rsidRPr="00E32790">
              <w:rPr>
                <w:rFonts w:ascii="Arial Narrow" w:hAnsi="Arial Narrow"/>
                <w:color w:val="17365D" w:themeColor="text2" w:themeShade="BF"/>
                <w:spacing w:val="-6"/>
              </w:rPr>
              <w:t xml:space="preserve"> Να παρουσιάζουν σχετικά παραδείγματα από τον πραγματικό κόσμο.</w:t>
            </w:r>
          </w:p>
          <w:p w:rsidR="00366987" w:rsidRPr="008A3445" w:rsidRDefault="00546EEF" w:rsidP="00FC34D4">
            <w:pPr>
              <w:framePr w:hSpace="180" w:wrap="around" w:hAnchor="margin" w:y="-13080"/>
              <w:spacing w:after="0" w:line="240" w:lineRule="auto"/>
              <w:ind w:left="360"/>
              <w:jc w:val="both"/>
              <w:rPr>
                <w:rFonts w:ascii="Calibri" w:eastAsia="Times New Roman" w:hAnsi="Calibri" w:cs="Arial"/>
                <w:color w:val="002060"/>
              </w:rPr>
            </w:pPr>
            <w:r w:rsidRPr="00E32790">
              <w:rPr>
                <w:rFonts w:ascii="Arial Narrow" w:hAnsi="Arial Narrow"/>
                <w:color w:val="17365D" w:themeColor="text2" w:themeShade="BF"/>
                <w:spacing w:val="-6"/>
              </w:rPr>
              <w:lastRenderedPageBreak/>
              <w:t>.</w:t>
            </w:r>
          </w:p>
        </w:tc>
      </w:tr>
      <w:tr w:rsidR="00FC34D4" w:rsidRPr="00050B81" w:rsidTr="00FC34D4">
        <w:tc>
          <w:tcPr>
            <w:tcW w:w="852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FC34D4" w:rsidRDefault="00FC34D4" w:rsidP="00FC34D4">
            <w:pPr>
              <w:spacing w:after="0"/>
              <w:rPr>
                <w:color w:val="17365D" w:themeColor="text2" w:themeShade="BF"/>
                <w:spacing w:val="-6"/>
                <w:u w:val="single"/>
              </w:rPr>
            </w:pPr>
            <w:r w:rsidRPr="00FC34D4">
              <w:rPr>
                <w:color w:val="17365D" w:themeColor="text2" w:themeShade="BF"/>
                <w:spacing w:val="-6"/>
                <w:u w:val="single"/>
              </w:rPr>
              <w:lastRenderedPageBreak/>
              <w:t>Γενικές Ικανότητες</w:t>
            </w:r>
          </w:p>
          <w:p w:rsidR="00FC34D4" w:rsidRPr="00FC34D4" w:rsidRDefault="00FC34D4" w:rsidP="00FC34D4">
            <w:pPr>
              <w:spacing w:after="0"/>
              <w:rPr>
                <w:color w:val="17365D" w:themeColor="text2" w:themeShade="BF"/>
                <w:spacing w:val="-6"/>
                <w:u w:val="single"/>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C34D4" w:rsidRPr="00050B81" w:rsidTr="00FC34D4">
        <w:tblPrEx>
          <w:tblLook w:val="0000" w:firstRow="0" w:lastRow="0" w:firstColumn="0" w:lastColumn="0" w:noHBand="0" w:noVBand="0"/>
        </w:tblPrEx>
        <w:trPr>
          <w:gridAfter w:val="1"/>
          <w:wAfter w:w="50" w:type="dxa"/>
        </w:trPr>
        <w:tc>
          <w:tcPr>
            <w:tcW w:w="3964" w:type="dxa"/>
            <w:tcBorders>
              <w:top w:val="nil"/>
              <w:bottom w:val="single" w:sz="4" w:space="0" w:color="auto"/>
              <w:right w:val="nil"/>
            </w:tcBorders>
            <w:shd w:val="clear" w:color="auto" w:fill="DDD9C3" w:themeFill="background2" w:themeFillShade="E6"/>
          </w:tcPr>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w:t>
            </w:r>
            <w:proofErr w:type="spellStart"/>
            <w:r w:rsidRPr="00050B81">
              <w:rPr>
                <w:rFonts w:ascii="Calibri" w:eastAsia="Times New Roman" w:hAnsi="Calibri" w:cs="Arial"/>
                <w:i/>
                <w:sz w:val="16"/>
                <w:szCs w:val="16"/>
              </w:rPr>
              <w:t>πολυπολιτισμικότητα</w:t>
            </w:r>
            <w:proofErr w:type="spellEnd"/>
            <w:r w:rsidRPr="00050B81">
              <w:rPr>
                <w:rFonts w:ascii="Calibri" w:eastAsia="Times New Roman" w:hAnsi="Calibri" w:cs="Arial"/>
                <w:i/>
                <w:sz w:val="16"/>
                <w:szCs w:val="16"/>
              </w:rPr>
              <w:t xml:space="preserve">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FC34D4" w:rsidRPr="00050B81" w:rsidRDefault="00FC34D4" w:rsidP="00090135">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FC34D4" w:rsidRPr="00050B81" w:rsidRDefault="00FC34D4" w:rsidP="00090135">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FC34D4">
        <w:tc>
          <w:tcPr>
            <w:tcW w:w="8522" w:type="dxa"/>
            <w:gridSpan w:val="3"/>
            <w:tcBorders>
              <w:bottom w:val="single" w:sz="4" w:space="0" w:color="auto"/>
            </w:tcBorders>
          </w:tcPr>
          <w:p w:rsidR="00E32790" w:rsidRPr="00E32790" w:rsidRDefault="00E32790" w:rsidP="00E32790">
            <w:pPr>
              <w:numPr>
                <w:ilvl w:val="0"/>
                <w:numId w:val="7"/>
              </w:numPr>
              <w:spacing w:after="0" w:line="240" w:lineRule="auto"/>
              <w:jc w:val="both"/>
              <w:rPr>
                <w:color w:val="17365D" w:themeColor="text2" w:themeShade="BF"/>
                <w:spacing w:val="-8"/>
              </w:rPr>
            </w:pPr>
            <w:r w:rsidRPr="00E32790">
              <w:rPr>
                <w:color w:val="17365D" w:themeColor="text2" w:themeShade="BF"/>
                <w:spacing w:val="-8"/>
              </w:rPr>
              <w:t xml:space="preserve">Ικανότητα </w:t>
            </w:r>
            <w:r w:rsidR="002F4BD8">
              <w:rPr>
                <w:color w:val="17365D" w:themeColor="text2" w:themeShade="BF"/>
                <w:spacing w:val="-8"/>
              </w:rPr>
              <w:t>ερμηνείας των μακροοικονομικών δεδομένων και ανάλυσης των διεθνών οικονομικών εξελίξεων</w:t>
            </w:r>
          </w:p>
          <w:p w:rsidR="00E32790" w:rsidRPr="00E32790" w:rsidRDefault="00E32790" w:rsidP="00E32790">
            <w:pPr>
              <w:numPr>
                <w:ilvl w:val="0"/>
                <w:numId w:val="7"/>
              </w:numPr>
              <w:spacing w:after="0" w:line="240" w:lineRule="auto"/>
              <w:jc w:val="both"/>
              <w:rPr>
                <w:color w:val="17365D" w:themeColor="text2" w:themeShade="BF"/>
                <w:spacing w:val="-6"/>
              </w:rPr>
            </w:pPr>
            <w:r w:rsidRPr="00E32790">
              <w:rPr>
                <w:color w:val="17365D" w:themeColor="text2" w:themeShade="BF"/>
                <w:spacing w:val="-6"/>
              </w:rPr>
              <w:t>Ικανότητα να εφαρμόζουν αυτή τη γνώση για την ανάλυση γεγονότων από την διεθνή οικονομία και για την ερμηνεία των αποτελεσμάτων εμπειρικών μελετών</w:t>
            </w:r>
          </w:p>
          <w:p w:rsidR="00E32790" w:rsidRPr="00E32790" w:rsidRDefault="00E32790" w:rsidP="00E32790">
            <w:pPr>
              <w:numPr>
                <w:ilvl w:val="0"/>
                <w:numId w:val="7"/>
              </w:numPr>
              <w:spacing w:after="0" w:line="240" w:lineRule="auto"/>
              <w:jc w:val="both"/>
              <w:rPr>
                <w:color w:val="17365D" w:themeColor="text2" w:themeShade="BF"/>
                <w:spacing w:val="-6"/>
              </w:rPr>
            </w:pPr>
            <w:r w:rsidRPr="00E32790">
              <w:rPr>
                <w:color w:val="17365D" w:themeColor="text2" w:themeShade="BF"/>
                <w:spacing w:val="-6"/>
              </w:rPr>
              <w:t>Ικανότητα να αξιολογούν τα προβλήματα που αντιμετωπίζουν οι φορεί</w:t>
            </w:r>
            <w:r w:rsidR="002F4BD8">
              <w:rPr>
                <w:color w:val="17365D" w:themeColor="text2" w:themeShade="BF"/>
                <w:spacing w:val="-6"/>
              </w:rPr>
              <w:t>ς</w:t>
            </w:r>
            <w:r w:rsidRPr="00E32790">
              <w:rPr>
                <w:color w:val="17365D" w:themeColor="text2" w:themeShade="BF"/>
                <w:spacing w:val="-6"/>
              </w:rPr>
              <w:t xml:space="preserve"> άσκησης οικονομικής πολιτικής και να αναγνωρίζουν λόγους για ύπαρξη διαφοροποιήσεων στην μακροοικονομική επίδοση των εθνικών οικονομιών </w:t>
            </w:r>
          </w:p>
          <w:p w:rsidR="00FC34D4" w:rsidRPr="00FC34D4" w:rsidRDefault="00E32790" w:rsidP="00FC34D4">
            <w:pPr>
              <w:numPr>
                <w:ilvl w:val="0"/>
                <w:numId w:val="7"/>
              </w:numPr>
              <w:spacing w:after="0" w:line="240" w:lineRule="auto"/>
              <w:jc w:val="both"/>
              <w:rPr>
                <w:rFonts w:ascii="Calibri" w:eastAsia="Times New Roman" w:hAnsi="Calibri" w:cs="Arial"/>
                <w:sz w:val="16"/>
                <w:szCs w:val="16"/>
              </w:rPr>
            </w:pPr>
            <w:r w:rsidRPr="00E32790">
              <w:rPr>
                <w:color w:val="17365D" w:themeColor="text2" w:themeShade="BF"/>
                <w:spacing w:val="-6"/>
              </w:rPr>
              <w:t>Ικανότητα επίλυσης ασκήσεων και ερμηνεία των αποτελεσμάτων</w:t>
            </w:r>
          </w:p>
          <w:p w:rsidR="00050B81" w:rsidRPr="00F840AB" w:rsidRDefault="00FE048E" w:rsidP="00FC34D4">
            <w:pPr>
              <w:numPr>
                <w:ilvl w:val="0"/>
                <w:numId w:val="7"/>
              </w:numPr>
              <w:spacing w:after="0" w:line="240" w:lineRule="auto"/>
              <w:jc w:val="both"/>
              <w:rPr>
                <w:rFonts w:ascii="Calibri" w:eastAsia="Times New Roman" w:hAnsi="Calibri" w:cs="Arial"/>
                <w:sz w:val="16"/>
                <w:szCs w:val="16"/>
              </w:rPr>
            </w:pPr>
            <w:r w:rsidRPr="00E32790">
              <w:rPr>
                <w:rFonts w:ascii="Calibri" w:eastAsia="Times New Roman" w:hAnsi="Calibri" w:cs="Arial"/>
                <w:color w:val="17365D" w:themeColor="text2" w:themeShade="BF"/>
                <w:szCs w:val="16"/>
              </w:rPr>
              <w:t xml:space="preserve">Αναζήτηση, ανάλυση και σύνθεση δεδομένων και πληροφοριών </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546EEF" w:rsidRPr="00E32790" w:rsidRDefault="00546EEF" w:rsidP="00E32790">
            <w:pPr>
              <w:pStyle w:val="NormalWeb"/>
              <w:numPr>
                <w:ilvl w:val="0"/>
                <w:numId w:val="26"/>
              </w:numPr>
              <w:jc w:val="both"/>
              <w:rPr>
                <w:rFonts w:asciiTheme="minorHAnsi" w:hAnsiTheme="minorHAnsi"/>
                <w:b/>
                <w:bCs/>
                <w:color w:val="17365D" w:themeColor="text2" w:themeShade="BF"/>
                <w:spacing w:val="-6"/>
                <w:sz w:val="22"/>
                <w:szCs w:val="22"/>
              </w:rPr>
            </w:pPr>
            <w:r w:rsidRPr="00E32790">
              <w:rPr>
                <w:rFonts w:asciiTheme="minorHAnsi" w:hAnsiTheme="minorHAnsi"/>
                <w:b/>
                <w:color w:val="17365D" w:themeColor="text2" w:themeShade="BF"/>
                <w:spacing w:val="-6"/>
                <w:sz w:val="22"/>
                <w:szCs w:val="22"/>
                <w:u w:val="single"/>
              </w:rPr>
              <w:t xml:space="preserve">Κατανάλωση: </w:t>
            </w:r>
            <w:r w:rsidRPr="00E32790">
              <w:rPr>
                <w:rFonts w:asciiTheme="minorHAnsi" w:hAnsiTheme="minorHAnsi"/>
                <w:color w:val="17365D" w:themeColor="text2" w:themeShade="BF"/>
                <w:spacing w:val="-6"/>
                <w:sz w:val="22"/>
                <w:szCs w:val="22"/>
              </w:rPr>
              <w:t xml:space="preserve">Απλή θεωρία κατανάλωσης. Προσδοκίες, πλούτος &amp; διαχρονικό εισόδημα, διαχρονική επιλογή. Υπόδειγμα </w:t>
            </w:r>
            <w:r w:rsidRPr="00E32790">
              <w:rPr>
                <w:rFonts w:asciiTheme="minorHAnsi" w:hAnsiTheme="minorHAnsi"/>
                <w:color w:val="17365D" w:themeColor="text2" w:themeShade="BF"/>
                <w:spacing w:val="-6"/>
                <w:sz w:val="22"/>
                <w:szCs w:val="22"/>
                <w:lang w:val="en-US"/>
              </w:rPr>
              <w:t>Fisher</w:t>
            </w:r>
            <w:r w:rsidRPr="00E32790">
              <w:rPr>
                <w:rFonts w:asciiTheme="minorHAnsi" w:hAnsiTheme="minorHAnsi"/>
                <w:color w:val="17365D" w:themeColor="text2" w:themeShade="BF"/>
                <w:spacing w:val="-6"/>
                <w:sz w:val="22"/>
                <w:szCs w:val="22"/>
              </w:rPr>
              <w:t xml:space="preserve">. Υπόδειγμα Κύκλου Ζωής. Υπόδειγμα Μόνιμου Εισοδήματος. Αποτελέσματα </w:t>
            </w:r>
            <w:proofErr w:type="spellStart"/>
            <w:r w:rsidRPr="00E32790">
              <w:rPr>
                <w:rFonts w:asciiTheme="minorHAnsi" w:hAnsiTheme="minorHAnsi"/>
                <w:color w:val="17365D" w:themeColor="text2" w:themeShade="BF"/>
                <w:spacing w:val="-6"/>
                <w:sz w:val="22"/>
                <w:szCs w:val="22"/>
              </w:rPr>
              <w:t>Kuznets</w:t>
            </w:r>
            <w:proofErr w:type="spellEnd"/>
            <w:r w:rsidRPr="00E32790">
              <w:rPr>
                <w:rFonts w:asciiTheme="minorHAnsi" w:hAnsiTheme="minorHAnsi"/>
                <w:color w:val="17365D" w:themeColor="text2" w:themeShade="BF"/>
                <w:spacing w:val="-6"/>
                <w:sz w:val="22"/>
                <w:szCs w:val="22"/>
              </w:rPr>
              <w:t xml:space="preserve">, βραχυχρόνια και μακροχρόνια μέση ροπή προς κατανάλωση. </w:t>
            </w:r>
          </w:p>
          <w:p w:rsidR="00546EEF" w:rsidRPr="00E32790" w:rsidRDefault="00546EEF" w:rsidP="00E32790">
            <w:pPr>
              <w:pStyle w:val="NormalWeb"/>
              <w:numPr>
                <w:ilvl w:val="0"/>
                <w:numId w:val="26"/>
              </w:numPr>
              <w:jc w:val="both"/>
              <w:rPr>
                <w:rFonts w:asciiTheme="minorHAnsi" w:hAnsiTheme="minorHAnsi"/>
                <w:color w:val="17365D" w:themeColor="text2" w:themeShade="BF"/>
                <w:spacing w:val="-6"/>
                <w:sz w:val="22"/>
                <w:szCs w:val="22"/>
                <w:u w:val="single"/>
              </w:rPr>
            </w:pPr>
            <w:r w:rsidRPr="00E32790">
              <w:rPr>
                <w:rFonts w:asciiTheme="minorHAnsi" w:hAnsiTheme="minorHAnsi"/>
                <w:b/>
                <w:color w:val="17365D" w:themeColor="text2" w:themeShade="BF"/>
                <w:spacing w:val="-6"/>
                <w:sz w:val="22"/>
                <w:szCs w:val="22"/>
                <w:u w:val="single"/>
              </w:rPr>
              <w:t>Επένδυση</w:t>
            </w:r>
            <w:r w:rsidRPr="00E32790">
              <w:rPr>
                <w:rFonts w:asciiTheme="minorHAnsi" w:hAnsiTheme="minorHAnsi"/>
                <w:color w:val="17365D" w:themeColor="text2" w:themeShade="BF"/>
                <w:spacing w:val="-6"/>
                <w:sz w:val="22"/>
                <w:szCs w:val="22"/>
                <w:u w:val="single"/>
              </w:rPr>
              <w:t>:</w:t>
            </w:r>
            <w:r w:rsidRPr="00E32790">
              <w:rPr>
                <w:rFonts w:asciiTheme="minorHAnsi" w:hAnsiTheme="minorHAnsi"/>
                <w:color w:val="17365D" w:themeColor="text2" w:themeShade="BF"/>
                <w:spacing w:val="-6"/>
                <w:sz w:val="22"/>
                <w:szCs w:val="22"/>
              </w:rPr>
              <w:t xml:space="preserve"> Διττός ρόλος της επένδυσης. Συνολική επένδυση, επενδύσεις παγίου κεφαλαίου, επενδύσεις σε </w:t>
            </w:r>
            <w:r w:rsidRPr="00E32790">
              <w:rPr>
                <w:rFonts w:asciiTheme="minorHAnsi" w:hAnsiTheme="minorHAnsi"/>
                <w:color w:val="17365D" w:themeColor="text2" w:themeShade="BF"/>
                <w:spacing w:val="-10"/>
                <w:sz w:val="22"/>
                <w:szCs w:val="22"/>
              </w:rPr>
              <w:t>αποθέματα. Προσδοκίες, επίδραση αβεβαιότητας. Υπόδειγμα Παρούσας Αξίας. Υπόδειγμα Οριακής</w:t>
            </w:r>
            <w:r w:rsidRPr="00E32790">
              <w:rPr>
                <w:rFonts w:asciiTheme="minorHAnsi" w:hAnsiTheme="minorHAnsi"/>
                <w:color w:val="17365D" w:themeColor="text2" w:themeShade="BF"/>
                <w:spacing w:val="-6"/>
                <w:sz w:val="22"/>
                <w:szCs w:val="22"/>
              </w:rPr>
              <w:t xml:space="preserve"> Αποδοτικότητας της επένδυσης. Υπόδειγμα Επιταχυντή. Νεοκλασικό υπόδειγμα επένδυσης. Υπόδειγμα </w:t>
            </w:r>
            <w:proofErr w:type="spellStart"/>
            <w:r w:rsidRPr="00E32790">
              <w:rPr>
                <w:rFonts w:asciiTheme="minorHAnsi" w:hAnsiTheme="minorHAnsi"/>
                <w:color w:val="17365D" w:themeColor="text2" w:themeShade="BF"/>
                <w:spacing w:val="-6"/>
                <w:sz w:val="22"/>
                <w:szCs w:val="22"/>
              </w:rPr>
              <w:t>Tobin's</w:t>
            </w:r>
            <w:proofErr w:type="spellEnd"/>
            <w:r w:rsidRPr="00E32790">
              <w:rPr>
                <w:rFonts w:asciiTheme="minorHAnsi" w:hAnsiTheme="minorHAnsi"/>
                <w:color w:val="17365D" w:themeColor="text2" w:themeShade="BF"/>
                <w:spacing w:val="-6"/>
                <w:sz w:val="22"/>
                <w:szCs w:val="22"/>
              </w:rPr>
              <w:t>-</w:t>
            </w:r>
            <w:r w:rsidRPr="00E32790">
              <w:rPr>
                <w:rFonts w:asciiTheme="minorHAnsi" w:hAnsiTheme="minorHAnsi"/>
                <w:color w:val="17365D" w:themeColor="text2" w:themeShade="BF"/>
                <w:spacing w:val="-6"/>
                <w:sz w:val="22"/>
                <w:szCs w:val="22"/>
                <w:lang w:val="en-US"/>
              </w:rPr>
              <w:t>Q</w:t>
            </w:r>
            <w:r w:rsidRPr="00E32790">
              <w:rPr>
                <w:rFonts w:asciiTheme="minorHAnsi" w:hAnsiTheme="minorHAnsi"/>
                <w:color w:val="17365D" w:themeColor="text2" w:themeShade="BF"/>
                <w:spacing w:val="-6"/>
                <w:sz w:val="22"/>
                <w:szCs w:val="22"/>
              </w:rPr>
              <w:t xml:space="preserve">. </w:t>
            </w:r>
          </w:p>
          <w:p w:rsidR="00546EEF" w:rsidRPr="00E32790" w:rsidRDefault="00546EEF" w:rsidP="00E32790">
            <w:pPr>
              <w:pStyle w:val="NormalWeb"/>
              <w:numPr>
                <w:ilvl w:val="0"/>
                <w:numId w:val="26"/>
              </w:numPr>
              <w:jc w:val="both"/>
              <w:rPr>
                <w:rFonts w:asciiTheme="minorHAnsi" w:hAnsiTheme="minorHAnsi"/>
                <w:b/>
                <w:color w:val="17365D" w:themeColor="text2" w:themeShade="BF"/>
                <w:spacing w:val="-6"/>
                <w:sz w:val="22"/>
                <w:szCs w:val="22"/>
                <w:u w:val="single"/>
              </w:rPr>
            </w:pPr>
            <w:r w:rsidRPr="00E32790">
              <w:rPr>
                <w:rFonts w:asciiTheme="minorHAnsi" w:hAnsiTheme="minorHAnsi"/>
                <w:b/>
                <w:color w:val="17365D" w:themeColor="text2" w:themeShade="BF"/>
                <w:spacing w:val="-6"/>
                <w:sz w:val="22"/>
                <w:szCs w:val="22"/>
                <w:u w:val="single"/>
              </w:rPr>
              <w:t xml:space="preserve">Μεγέθυνση Ι: </w:t>
            </w:r>
            <w:r w:rsidRPr="00E32790">
              <w:rPr>
                <w:rFonts w:asciiTheme="minorHAnsi" w:hAnsiTheme="minorHAnsi"/>
                <w:color w:val="17365D" w:themeColor="text2" w:themeShade="BF"/>
                <w:spacing w:val="-6"/>
                <w:sz w:val="22"/>
                <w:szCs w:val="22"/>
              </w:rPr>
              <w:t xml:space="preserve">Τα δεδομένα της μεγέθυνσης. Βασικές έννοιες και μεταβλητές. Ροπή προς αποταμίευση &amp; συσσώρευση φυσικού κεφαλαίου.  Πληθυσμός και μεγέθυνση. Ανθρώπινο κεφάλαιο, μορφές ανθρώπινου κεφαλαίου &amp; μεγέθυνση, αλληλεπιδράσεις ανθρώπινου κεφάλαιο και κατά κεφαλή εισοδήματος. Το γενικευμένο υπόδειγμα </w:t>
            </w:r>
            <w:proofErr w:type="spellStart"/>
            <w:r w:rsidRPr="00E32790">
              <w:rPr>
                <w:rFonts w:asciiTheme="minorHAnsi" w:hAnsiTheme="minorHAnsi"/>
                <w:color w:val="17365D" w:themeColor="text2" w:themeShade="BF"/>
                <w:spacing w:val="-6"/>
                <w:sz w:val="22"/>
                <w:szCs w:val="22"/>
              </w:rPr>
              <w:t>Solow-Swan</w:t>
            </w:r>
            <w:proofErr w:type="spellEnd"/>
            <w:r w:rsidRPr="00E32790">
              <w:rPr>
                <w:rFonts w:asciiTheme="minorHAnsi" w:hAnsiTheme="minorHAnsi"/>
                <w:color w:val="17365D" w:themeColor="text2" w:themeShade="BF"/>
                <w:spacing w:val="-6"/>
                <w:sz w:val="22"/>
                <w:szCs w:val="22"/>
              </w:rPr>
              <w:t xml:space="preserve">. Ισορροπία σταθερής κατάστασης. Χρυσός κανόνας μεγέθυνσης. </w:t>
            </w:r>
          </w:p>
          <w:p w:rsidR="00546EEF" w:rsidRPr="00E32790" w:rsidRDefault="00546EEF" w:rsidP="00E32790">
            <w:pPr>
              <w:pStyle w:val="NormalWeb"/>
              <w:numPr>
                <w:ilvl w:val="0"/>
                <w:numId w:val="26"/>
              </w:numPr>
              <w:jc w:val="both"/>
              <w:rPr>
                <w:rFonts w:asciiTheme="minorHAnsi" w:hAnsiTheme="minorHAnsi"/>
                <w:b/>
                <w:color w:val="17365D" w:themeColor="text2" w:themeShade="BF"/>
                <w:spacing w:val="-6"/>
                <w:sz w:val="22"/>
                <w:szCs w:val="22"/>
                <w:u w:val="single"/>
              </w:rPr>
            </w:pPr>
            <w:r w:rsidRPr="00E32790">
              <w:rPr>
                <w:rFonts w:asciiTheme="minorHAnsi" w:hAnsiTheme="minorHAnsi"/>
                <w:b/>
                <w:color w:val="17365D" w:themeColor="text2" w:themeShade="BF"/>
                <w:spacing w:val="-6"/>
                <w:sz w:val="22"/>
                <w:szCs w:val="22"/>
                <w:u w:val="single"/>
              </w:rPr>
              <w:t xml:space="preserve">Μεγέθυνση ΙΙ: </w:t>
            </w:r>
            <w:r w:rsidRPr="00E32790">
              <w:rPr>
                <w:rFonts w:asciiTheme="minorHAnsi" w:hAnsiTheme="minorHAnsi"/>
                <w:color w:val="17365D" w:themeColor="text2" w:themeShade="BF"/>
                <w:spacing w:val="-6"/>
                <w:sz w:val="22"/>
                <w:szCs w:val="22"/>
              </w:rPr>
              <w:t xml:space="preserve">Παραγωγικότητα, μέτρηση. Τεχνολογία και συνάρτηση παραγωγής. Προσδιοριστικοί παράγοντες τεχνολογικής προόδου. Σχέση μεταξύ δημιουργίας τεχνολογικής προόδου και ρυθμού μεγέθυνσης. Παραγωγικότητα, τεχνολογία και συνολική προσφορά &amp; ζήτηση. Παραγωγικότητα, τεχνολογία και φυσιολογικό ποσοστό ανεργίας. </w:t>
            </w:r>
          </w:p>
          <w:p w:rsidR="00546EEF" w:rsidRPr="00E32790" w:rsidRDefault="00546EEF" w:rsidP="00E32790">
            <w:pPr>
              <w:pStyle w:val="NormalWeb"/>
              <w:numPr>
                <w:ilvl w:val="0"/>
                <w:numId w:val="26"/>
              </w:numPr>
              <w:jc w:val="both"/>
              <w:rPr>
                <w:rFonts w:asciiTheme="minorHAnsi" w:hAnsiTheme="minorHAnsi"/>
                <w:color w:val="17365D" w:themeColor="text2" w:themeShade="BF"/>
                <w:spacing w:val="-6"/>
                <w:sz w:val="22"/>
                <w:szCs w:val="22"/>
                <w:u w:val="single"/>
              </w:rPr>
            </w:pPr>
            <w:r w:rsidRPr="00E32790">
              <w:rPr>
                <w:rFonts w:asciiTheme="minorHAnsi" w:hAnsiTheme="minorHAnsi"/>
                <w:b/>
                <w:color w:val="17365D" w:themeColor="text2" w:themeShade="BF"/>
                <w:spacing w:val="-6"/>
                <w:sz w:val="22"/>
                <w:szCs w:val="22"/>
                <w:u w:val="single"/>
              </w:rPr>
              <w:t xml:space="preserve">Εξωτερικός Τομέας Ι: </w:t>
            </w:r>
            <w:r w:rsidRPr="00E32790">
              <w:rPr>
                <w:rFonts w:asciiTheme="minorHAnsi" w:hAnsiTheme="minorHAnsi"/>
                <w:color w:val="17365D" w:themeColor="text2" w:themeShade="BF"/>
                <w:spacing w:val="-6"/>
                <w:sz w:val="22"/>
                <w:szCs w:val="22"/>
              </w:rPr>
              <w:t xml:space="preserve">Άνοιγμα στις αγορές αγαθών. Ονομαστικές και πραγματικές ισοτιμίες. Επιτόκια &amp; συναλλαγματικές ισοτιμίες. Ισοτιμία αγοραστικών δυνάμεων Εθνικός διαχρονικός εισοδηματικός περιορισμός. Συνάρτηση ισοζυγίου πληρωμών Προσδιοριστικοί παράγοντες εισαγωγών &amp; εξαγωγών. Συναρτήσεις εισαγωγών &amp; εξαγωγών. Υποτίμηση &amp; εμπορικό ισοζύγιο. Συνθήκη </w:t>
            </w:r>
            <w:r w:rsidRPr="00E32790">
              <w:rPr>
                <w:rFonts w:asciiTheme="minorHAnsi" w:hAnsiTheme="minorHAnsi"/>
                <w:color w:val="17365D" w:themeColor="text2" w:themeShade="BF"/>
                <w:spacing w:val="-6"/>
                <w:sz w:val="22"/>
                <w:szCs w:val="22"/>
                <w:lang w:val="en-US"/>
              </w:rPr>
              <w:t>M</w:t>
            </w:r>
            <w:r w:rsidRPr="00E32790">
              <w:rPr>
                <w:rFonts w:asciiTheme="minorHAnsi" w:hAnsiTheme="minorHAnsi"/>
                <w:color w:val="17365D" w:themeColor="text2" w:themeShade="BF"/>
                <w:spacing w:val="-6"/>
                <w:sz w:val="22"/>
                <w:szCs w:val="22"/>
              </w:rPr>
              <w:t>-</w:t>
            </w:r>
            <w:r w:rsidRPr="00E32790">
              <w:rPr>
                <w:rFonts w:asciiTheme="minorHAnsi" w:hAnsiTheme="minorHAnsi"/>
                <w:color w:val="17365D" w:themeColor="text2" w:themeShade="BF"/>
                <w:spacing w:val="-6"/>
                <w:sz w:val="22"/>
                <w:szCs w:val="22"/>
                <w:lang w:val="en-US"/>
              </w:rPr>
              <w:t>L</w:t>
            </w:r>
            <w:r w:rsidRPr="00E32790">
              <w:rPr>
                <w:rFonts w:asciiTheme="minorHAnsi" w:hAnsiTheme="minorHAnsi"/>
                <w:color w:val="17365D" w:themeColor="text2" w:themeShade="BF"/>
                <w:spacing w:val="-6"/>
                <w:sz w:val="22"/>
                <w:szCs w:val="22"/>
              </w:rPr>
              <w:t xml:space="preserve">.  Καμπύλη </w:t>
            </w:r>
            <w:r w:rsidRPr="00E32790">
              <w:rPr>
                <w:rFonts w:asciiTheme="minorHAnsi" w:hAnsiTheme="minorHAnsi"/>
                <w:color w:val="17365D" w:themeColor="text2" w:themeShade="BF"/>
                <w:spacing w:val="-6"/>
                <w:sz w:val="22"/>
                <w:szCs w:val="22"/>
                <w:lang w:val="en-US"/>
              </w:rPr>
              <w:t>J</w:t>
            </w:r>
            <w:r w:rsidRPr="00E32790">
              <w:rPr>
                <w:rFonts w:asciiTheme="minorHAnsi" w:hAnsiTheme="minorHAnsi"/>
                <w:color w:val="17365D" w:themeColor="text2" w:themeShade="BF"/>
                <w:spacing w:val="-6"/>
                <w:sz w:val="22"/>
                <w:szCs w:val="22"/>
              </w:rPr>
              <w:t xml:space="preserve">. </w:t>
            </w:r>
          </w:p>
          <w:p w:rsidR="00050B81" w:rsidRPr="006641F8" w:rsidRDefault="00546EEF" w:rsidP="00E32790">
            <w:pPr>
              <w:pStyle w:val="NormalWeb"/>
              <w:numPr>
                <w:ilvl w:val="0"/>
                <w:numId w:val="26"/>
              </w:numPr>
              <w:jc w:val="both"/>
              <w:rPr>
                <w:iCs/>
                <w:color w:val="002060"/>
              </w:rPr>
            </w:pPr>
            <w:r w:rsidRPr="00E32790">
              <w:rPr>
                <w:rFonts w:asciiTheme="minorHAnsi" w:hAnsiTheme="minorHAnsi"/>
                <w:b/>
                <w:color w:val="17365D" w:themeColor="text2" w:themeShade="BF"/>
                <w:spacing w:val="-6"/>
                <w:sz w:val="22"/>
                <w:szCs w:val="22"/>
                <w:u w:val="single"/>
              </w:rPr>
              <w:t xml:space="preserve">Εξωτερικός Τομέας ΙΙ: </w:t>
            </w:r>
            <w:r w:rsidRPr="00E32790">
              <w:rPr>
                <w:rFonts w:asciiTheme="minorHAnsi" w:hAnsiTheme="minorHAnsi"/>
                <w:color w:val="17365D" w:themeColor="text2" w:themeShade="BF"/>
                <w:spacing w:val="-6"/>
                <w:sz w:val="22"/>
                <w:szCs w:val="22"/>
              </w:rPr>
              <w:t xml:space="preserve">Προϊόν, επιτόκιο &amp; συναλλαγματική ισοτιμία. Ισορροπία στις αγορές αγαθών και χρήματος στην ανοικτή οικονομία. Υπόδειγμα </w:t>
            </w:r>
            <w:proofErr w:type="spellStart"/>
            <w:r w:rsidRPr="00E32790">
              <w:rPr>
                <w:rFonts w:asciiTheme="minorHAnsi" w:hAnsiTheme="minorHAnsi"/>
                <w:color w:val="17365D" w:themeColor="text2" w:themeShade="BF"/>
                <w:spacing w:val="-6"/>
                <w:sz w:val="22"/>
                <w:szCs w:val="22"/>
              </w:rPr>
              <w:t>Mundell-Fleming</w:t>
            </w:r>
            <w:proofErr w:type="spellEnd"/>
            <w:r w:rsidRPr="00E32790">
              <w:rPr>
                <w:rFonts w:asciiTheme="minorHAnsi" w:hAnsiTheme="minorHAnsi"/>
                <w:color w:val="17365D" w:themeColor="text2" w:themeShade="BF"/>
                <w:spacing w:val="-6"/>
                <w:sz w:val="22"/>
                <w:szCs w:val="22"/>
              </w:rPr>
              <w:t>. Ανάλυση επιπτώσεων οικονομικής πολιτικής. Ανάλυση επιδράσεων εξωγενών γεγονότων. Διεθνής αλληλεξάρτηση. ΕΕ και ζώνη ευρώ. Μεταβολές συναλλαγματικών ισοτιμιών υπό καθεστώς κυμαινόμενων ισοτιμιών, συναλλαγματικές κρίσεις. Επιλογή μεταξύ συστημάτων συναλλαγματικών ισοτιμιών</w:t>
            </w:r>
            <w:r w:rsidR="00E32790">
              <w:rPr>
                <w:rFonts w:asciiTheme="minorHAnsi" w:hAnsiTheme="minorHAnsi"/>
                <w:color w:val="17365D" w:themeColor="text2" w:themeShade="BF"/>
                <w:spacing w:val="-6"/>
                <w:sz w:val="22"/>
                <w:szCs w:val="22"/>
              </w:rPr>
              <w:t>.</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366987" w:rsidP="00F840AB">
            <w:pPr>
              <w:rPr>
                <w:iCs/>
                <w:color w:val="002060"/>
              </w:rPr>
            </w:pPr>
            <w:r>
              <w:rPr>
                <w:iCs/>
                <w:color w:val="002060"/>
              </w:rPr>
              <w:t>Πρόσωπο με Πρόσωπο</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F840AB" w:rsidRPr="00FC34D4" w:rsidRDefault="001D341B" w:rsidP="002F4BD8">
            <w:pPr>
              <w:pStyle w:val="ListParagraph"/>
              <w:numPr>
                <w:ilvl w:val="0"/>
                <w:numId w:val="8"/>
              </w:numPr>
              <w:spacing w:after="0" w:line="240" w:lineRule="auto"/>
              <w:rPr>
                <w:rFonts w:ascii="Calibri" w:eastAsia="Times New Roman" w:hAnsi="Calibri" w:cs="Arial"/>
                <w:b/>
                <w:color w:val="002060"/>
                <w:sz w:val="20"/>
                <w:szCs w:val="20"/>
              </w:rPr>
            </w:pPr>
            <w:r w:rsidRPr="002F4BD8">
              <w:rPr>
                <w:iCs/>
                <w:color w:val="002060"/>
              </w:rPr>
              <w:t xml:space="preserve">Υποστήριξη Μαθησιακής διαδικασίας μέσω της ηλεκτρονικής πλατφόρμας </w:t>
            </w:r>
            <w:r w:rsidR="008649BF" w:rsidRPr="002F4BD8">
              <w:rPr>
                <w:iCs/>
                <w:color w:val="002060"/>
                <w:lang w:val="en-US"/>
              </w:rPr>
              <w:t>E</w:t>
            </w:r>
            <w:r w:rsidRPr="002F4BD8">
              <w:rPr>
                <w:iCs/>
                <w:color w:val="002060"/>
              </w:rPr>
              <w:t>-</w:t>
            </w:r>
            <w:r w:rsidRPr="002F4BD8">
              <w:rPr>
                <w:iCs/>
                <w:color w:val="002060"/>
                <w:lang w:val="en-US"/>
              </w:rPr>
              <w:t>class</w:t>
            </w:r>
          </w:p>
          <w:p w:rsidR="00FC34D4" w:rsidRPr="00F840AB" w:rsidRDefault="00E923DE" w:rsidP="00E923DE">
            <w:pPr>
              <w:pStyle w:val="ListParagraph"/>
              <w:numPr>
                <w:ilvl w:val="0"/>
                <w:numId w:val="8"/>
              </w:numPr>
              <w:spacing w:after="0" w:line="240" w:lineRule="auto"/>
              <w:rPr>
                <w:rFonts w:ascii="Calibri" w:eastAsia="Times New Roman" w:hAnsi="Calibri" w:cs="Arial"/>
                <w:b/>
                <w:color w:val="002060"/>
                <w:sz w:val="20"/>
                <w:szCs w:val="20"/>
              </w:rPr>
            </w:pPr>
            <w:r>
              <w:rPr>
                <w:iCs/>
                <w:color w:val="002060"/>
              </w:rPr>
              <w:t xml:space="preserve">Άντληση και αξιοποίηση </w:t>
            </w:r>
            <w:r w:rsidR="00FC34D4">
              <w:rPr>
                <w:iCs/>
                <w:color w:val="002060"/>
              </w:rPr>
              <w:t xml:space="preserve">μακροοικονομικών </w:t>
            </w:r>
            <w:r>
              <w:rPr>
                <w:iCs/>
                <w:color w:val="002060"/>
              </w:rPr>
              <w:t>μεγεθών από εθνικές και διεθνείς βάσεις δεδομένων</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620533" w:rsidRDefault="009976DD" w:rsidP="009976DD">
                  <w:pPr>
                    <w:jc w:val="center"/>
                    <w:rPr>
                      <w:rFonts w:ascii="Calibri" w:hAnsi="Calibri" w:cs="Arial"/>
                      <w:color w:val="002060"/>
                      <w:lang w:val="el-GR"/>
                    </w:rPr>
                  </w:pPr>
                  <w:r>
                    <w:rPr>
                      <w:rFonts w:ascii="Calibri" w:hAnsi="Calibri" w:cs="Arial"/>
                      <w:color w:val="002060"/>
                      <w:lang w:val="el-GR"/>
                    </w:rPr>
                    <w:t>39</w:t>
                  </w:r>
                </w:p>
              </w:tc>
            </w:tr>
            <w:tr w:rsidR="00F840AB" w:rsidRPr="00050B81" w:rsidTr="00050B81">
              <w:tc>
                <w:tcPr>
                  <w:tcW w:w="2467" w:type="dxa"/>
                  <w:shd w:val="clear" w:color="auto" w:fill="auto"/>
                </w:tcPr>
                <w:p w:rsidR="00F840AB" w:rsidRPr="009976DD" w:rsidRDefault="009976DD" w:rsidP="009976DD">
                  <w:pPr>
                    <w:rPr>
                      <w:rFonts w:ascii="Calibri" w:hAnsi="Calibri" w:cs="Arial"/>
                      <w:color w:val="002060"/>
                      <w:lang w:val="el-GR"/>
                    </w:rPr>
                  </w:pPr>
                  <w:r>
                    <w:rPr>
                      <w:rFonts w:ascii="Calibri" w:hAnsi="Calibri" w:cs="Arial"/>
                      <w:color w:val="002060"/>
                      <w:lang w:val="el-GR"/>
                    </w:rPr>
                    <w:t>Φροντιστήρια</w:t>
                  </w:r>
                </w:p>
              </w:tc>
              <w:tc>
                <w:tcPr>
                  <w:tcW w:w="2468" w:type="dxa"/>
                </w:tcPr>
                <w:p w:rsidR="00F840AB" w:rsidRPr="003B45BC" w:rsidRDefault="009976DD" w:rsidP="009976DD">
                  <w:pPr>
                    <w:jc w:val="center"/>
                    <w:rPr>
                      <w:rFonts w:ascii="Calibri" w:hAnsi="Calibri" w:cs="Arial"/>
                      <w:color w:val="002060"/>
                      <w:lang w:val="el-GR"/>
                    </w:rPr>
                  </w:pPr>
                  <w:r>
                    <w:rPr>
                      <w:rFonts w:ascii="Calibri" w:hAnsi="Calibri" w:cs="Arial"/>
                      <w:color w:val="002060"/>
                      <w:lang w:val="el-GR"/>
                    </w:rPr>
                    <w:t>13</w:t>
                  </w:r>
                </w:p>
              </w:tc>
            </w:tr>
            <w:tr w:rsidR="008649BF" w:rsidRPr="00050B81" w:rsidTr="00050B81">
              <w:tc>
                <w:tcPr>
                  <w:tcW w:w="2467" w:type="dxa"/>
                  <w:shd w:val="clear" w:color="auto" w:fill="auto"/>
                </w:tcPr>
                <w:p w:rsidR="008649BF" w:rsidRPr="00B25922" w:rsidRDefault="009976DD" w:rsidP="009976DD">
                  <w:pPr>
                    <w:rPr>
                      <w:rFonts w:ascii="Calibri" w:hAnsi="Calibri" w:cs="Arial"/>
                      <w:color w:val="002060"/>
                      <w:lang w:val="el-GR"/>
                    </w:rPr>
                  </w:pPr>
                  <w:r>
                    <w:rPr>
                      <w:rFonts w:ascii="Calibri" w:hAnsi="Calibri" w:cs="Arial"/>
                      <w:color w:val="002060"/>
                      <w:lang w:val="el-GR"/>
                    </w:rPr>
                    <w:t>Ασκήσεις στο σπίτι</w:t>
                  </w:r>
                </w:p>
              </w:tc>
              <w:tc>
                <w:tcPr>
                  <w:tcW w:w="2468" w:type="dxa"/>
                </w:tcPr>
                <w:p w:rsidR="008649BF" w:rsidRPr="003B45BC" w:rsidRDefault="00E923DE" w:rsidP="00E923DE">
                  <w:pPr>
                    <w:jc w:val="center"/>
                    <w:rPr>
                      <w:rFonts w:ascii="Calibri" w:hAnsi="Calibri" w:cs="Arial"/>
                      <w:color w:val="002060"/>
                      <w:lang w:val="el-GR"/>
                    </w:rPr>
                  </w:pPr>
                  <w:r>
                    <w:rPr>
                      <w:rFonts w:ascii="Calibri" w:hAnsi="Calibri" w:cs="Arial"/>
                      <w:color w:val="002060"/>
                      <w:lang w:val="el-GR"/>
                    </w:rPr>
                    <w:t>24</w:t>
                  </w:r>
                </w:p>
              </w:tc>
            </w:tr>
            <w:tr w:rsidR="009976DD" w:rsidRPr="00050B81" w:rsidTr="00050B81">
              <w:tc>
                <w:tcPr>
                  <w:tcW w:w="2467" w:type="dxa"/>
                  <w:shd w:val="clear" w:color="auto" w:fill="auto"/>
                </w:tcPr>
                <w:p w:rsidR="009976DD" w:rsidRPr="00B25922" w:rsidRDefault="009976DD" w:rsidP="009976DD">
                  <w:pPr>
                    <w:rPr>
                      <w:rFonts w:ascii="Calibri" w:hAnsi="Calibri" w:cs="Arial"/>
                      <w:color w:val="002060"/>
                      <w:lang w:val="el-GR"/>
                    </w:rPr>
                  </w:pPr>
                  <w:r>
                    <w:rPr>
                      <w:rFonts w:ascii="Calibri" w:hAnsi="Calibri" w:cs="Arial"/>
                      <w:color w:val="002060"/>
                      <w:lang w:val="el-GR"/>
                    </w:rPr>
                    <w:t xml:space="preserve">Μελέτη </w:t>
                  </w:r>
                </w:p>
              </w:tc>
              <w:tc>
                <w:tcPr>
                  <w:tcW w:w="2468" w:type="dxa"/>
                </w:tcPr>
                <w:p w:rsidR="009976DD" w:rsidRPr="003B45BC" w:rsidRDefault="00E923DE" w:rsidP="00E923DE">
                  <w:pPr>
                    <w:jc w:val="center"/>
                    <w:rPr>
                      <w:rFonts w:ascii="Calibri" w:hAnsi="Calibri" w:cs="Arial"/>
                      <w:color w:val="002060"/>
                      <w:lang w:val="el-GR"/>
                    </w:rPr>
                  </w:pPr>
                  <w:r>
                    <w:rPr>
                      <w:rFonts w:ascii="Calibri" w:hAnsi="Calibri" w:cs="Arial"/>
                      <w:color w:val="002060"/>
                      <w:lang w:val="el-GR"/>
                    </w:rPr>
                    <w:t>49</w:t>
                  </w:r>
                </w:p>
              </w:tc>
            </w:tr>
            <w:tr w:rsidR="009976DD" w:rsidRPr="00050B81" w:rsidTr="00050B81">
              <w:tc>
                <w:tcPr>
                  <w:tcW w:w="2467" w:type="dxa"/>
                  <w:shd w:val="clear" w:color="auto" w:fill="auto"/>
                </w:tcPr>
                <w:p w:rsidR="009976DD" w:rsidRPr="00B25922" w:rsidRDefault="009976DD" w:rsidP="008343A9">
                  <w:pPr>
                    <w:rPr>
                      <w:rFonts w:ascii="Calibri" w:hAnsi="Calibri" w:cs="Arial"/>
                      <w:i/>
                      <w:color w:val="002060"/>
                      <w:sz w:val="16"/>
                      <w:szCs w:val="16"/>
                      <w:lang w:val="el-GR"/>
                    </w:rPr>
                  </w:pPr>
                </w:p>
              </w:tc>
              <w:tc>
                <w:tcPr>
                  <w:tcW w:w="2468" w:type="dxa"/>
                </w:tcPr>
                <w:p w:rsidR="009976DD" w:rsidRPr="003B45BC" w:rsidRDefault="009976DD" w:rsidP="008343A9">
                  <w:pPr>
                    <w:rPr>
                      <w:rFonts w:ascii="Calibri" w:hAnsi="Calibri" w:cs="Arial"/>
                      <w:i/>
                      <w:color w:val="002060"/>
                      <w:sz w:val="16"/>
                      <w:szCs w:val="16"/>
                      <w:lang w:val="el-GR"/>
                    </w:rPr>
                  </w:pPr>
                </w:p>
              </w:tc>
            </w:tr>
            <w:tr w:rsidR="009976DD" w:rsidRPr="00050B81" w:rsidTr="00050B81">
              <w:tc>
                <w:tcPr>
                  <w:tcW w:w="2467" w:type="dxa"/>
                  <w:shd w:val="clear" w:color="auto" w:fill="auto"/>
                </w:tcPr>
                <w:p w:rsidR="009976DD" w:rsidRPr="00B25922" w:rsidRDefault="009976DD" w:rsidP="008343A9">
                  <w:pPr>
                    <w:rPr>
                      <w:rFonts w:ascii="Calibri" w:hAnsi="Calibri" w:cs="Arial"/>
                      <w:i/>
                      <w:color w:val="002060"/>
                      <w:sz w:val="16"/>
                      <w:szCs w:val="16"/>
                      <w:lang w:val="el-GR"/>
                    </w:rPr>
                  </w:pPr>
                </w:p>
              </w:tc>
              <w:tc>
                <w:tcPr>
                  <w:tcW w:w="2468" w:type="dxa"/>
                </w:tcPr>
                <w:p w:rsidR="009976DD" w:rsidRPr="003B45BC" w:rsidRDefault="009976DD" w:rsidP="008343A9">
                  <w:pPr>
                    <w:rPr>
                      <w:rFonts w:ascii="Calibri" w:hAnsi="Calibri" w:cs="Arial"/>
                      <w:i/>
                      <w:color w:val="002060"/>
                      <w:sz w:val="16"/>
                      <w:szCs w:val="16"/>
                      <w:lang w:val="el-GR"/>
                    </w:rPr>
                  </w:pPr>
                </w:p>
              </w:tc>
            </w:tr>
            <w:tr w:rsidR="009976DD" w:rsidRPr="00050B81" w:rsidTr="00050B81">
              <w:tc>
                <w:tcPr>
                  <w:tcW w:w="2467" w:type="dxa"/>
                  <w:shd w:val="clear" w:color="auto" w:fill="auto"/>
                </w:tcPr>
                <w:p w:rsidR="009976DD" w:rsidRPr="00B25922" w:rsidRDefault="009976DD" w:rsidP="008343A9">
                  <w:pPr>
                    <w:rPr>
                      <w:rFonts w:ascii="Calibri" w:hAnsi="Calibri" w:cs="Arial"/>
                      <w:i/>
                      <w:color w:val="002060"/>
                      <w:sz w:val="16"/>
                      <w:szCs w:val="16"/>
                      <w:lang w:val="el-GR"/>
                    </w:rPr>
                  </w:pPr>
                </w:p>
              </w:tc>
              <w:tc>
                <w:tcPr>
                  <w:tcW w:w="2468" w:type="dxa"/>
                </w:tcPr>
                <w:p w:rsidR="009976DD" w:rsidRPr="003B45BC" w:rsidRDefault="009976DD" w:rsidP="008343A9">
                  <w:pPr>
                    <w:rPr>
                      <w:rFonts w:ascii="Calibri" w:hAnsi="Calibri" w:cs="Arial"/>
                      <w:i/>
                      <w:color w:val="002060"/>
                      <w:sz w:val="16"/>
                      <w:szCs w:val="16"/>
                      <w:lang w:val="el-GR"/>
                    </w:rPr>
                  </w:pPr>
                </w:p>
              </w:tc>
            </w:tr>
            <w:tr w:rsidR="009976DD" w:rsidRPr="00050B81" w:rsidTr="00050B81">
              <w:tc>
                <w:tcPr>
                  <w:tcW w:w="2467" w:type="dxa"/>
                  <w:shd w:val="clear" w:color="auto" w:fill="auto"/>
                </w:tcPr>
                <w:p w:rsidR="009976DD" w:rsidRPr="00B25922" w:rsidRDefault="009976DD" w:rsidP="008343A9">
                  <w:pPr>
                    <w:rPr>
                      <w:rFonts w:ascii="Calibri" w:hAnsi="Calibri" w:cs="Arial"/>
                      <w:color w:val="002060"/>
                      <w:lang w:val="el-GR"/>
                    </w:rPr>
                  </w:pPr>
                </w:p>
              </w:tc>
              <w:tc>
                <w:tcPr>
                  <w:tcW w:w="2468" w:type="dxa"/>
                </w:tcPr>
                <w:p w:rsidR="009976DD" w:rsidRPr="003B45BC" w:rsidRDefault="009976DD" w:rsidP="008343A9">
                  <w:pPr>
                    <w:jc w:val="center"/>
                    <w:rPr>
                      <w:rFonts w:ascii="Calibri" w:hAnsi="Calibri" w:cs="Arial"/>
                      <w:color w:val="002060"/>
                      <w:lang w:val="el-GR"/>
                    </w:rPr>
                  </w:pPr>
                </w:p>
              </w:tc>
            </w:tr>
            <w:tr w:rsidR="009976DD" w:rsidRPr="00050B81" w:rsidTr="00907017">
              <w:tc>
                <w:tcPr>
                  <w:tcW w:w="2467" w:type="dxa"/>
                </w:tcPr>
                <w:p w:rsidR="009976DD" w:rsidRDefault="009976DD"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9976DD" w:rsidRPr="003B45BC" w:rsidRDefault="009976DD"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9976DD" w:rsidRPr="003B45BC" w:rsidRDefault="009976DD"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rsidR="00050B81" w:rsidRPr="000F1E0B"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8343A9">
              <w:rPr>
                <w:iCs/>
                <w:color w:val="002060"/>
              </w:rPr>
              <w:t>Γραπτή τελική εξέταση (</w:t>
            </w:r>
            <w:r w:rsidR="00F840AB">
              <w:rPr>
                <w:iCs/>
                <w:color w:val="002060"/>
              </w:rPr>
              <w:t>10</w:t>
            </w:r>
            <w:r w:rsidRPr="008343A9">
              <w:rPr>
                <w:iCs/>
                <w:color w:val="002060"/>
              </w:rPr>
              <w:t>0%) που περιλαμβάνει:</w:t>
            </w:r>
          </w:p>
          <w:p w:rsidR="001A03B5" w:rsidRDefault="001A03B5" w:rsidP="00F840AB">
            <w:pPr>
              <w:pStyle w:val="ListParagraph"/>
              <w:numPr>
                <w:ilvl w:val="2"/>
                <w:numId w:val="12"/>
              </w:numPr>
              <w:spacing w:after="0" w:line="240" w:lineRule="auto"/>
              <w:ind w:left="564"/>
              <w:rPr>
                <w:iCs/>
                <w:color w:val="002060"/>
              </w:rPr>
            </w:pPr>
            <w:r>
              <w:rPr>
                <w:iCs/>
                <w:color w:val="002060"/>
              </w:rPr>
              <w:t>Ερωτήσεις  πολλαπλής επιλογής</w:t>
            </w:r>
          </w:p>
          <w:p w:rsidR="00050B81" w:rsidRDefault="00F840AB" w:rsidP="00F840AB">
            <w:pPr>
              <w:pStyle w:val="ListParagraph"/>
              <w:numPr>
                <w:ilvl w:val="2"/>
                <w:numId w:val="12"/>
              </w:numPr>
              <w:spacing w:after="0" w:line="240" w:lineRule="auto"/>
              <w:ind w:left="564"/>
              <w:rPr>
                <w:iCs/>
                <w:color w:val="002060"/>
              </w:rPr>
            </w:pPr>
            <w:r>
              <w:rPr>
                <w:iCs/>
                <w:color w:val="002060"/>
              </w:rPr>
              <w:t>Ερωτήσεις κρίσεως ανοιχτού τύπου</w:t>
            </w:r>
          </w:p>
          <w:p w:rsidR="009976DD" w:rsidRPr="00F840AB" w:rsidRDefault="009976DD" w:rsidP="00F840AB">
            <w:pPr>
              <w:pStyle w:val="ListParagraph"/>
              <w:numPr>
                <w:ilvl w:val="2"/>
                <w:numId w:val="12"/>
              </w:numPr>
              <w:spacing w:after="0" w:line="240" w:lineRule="auto"/>
              <w:ind w:left="564"/>
              <w:rPr>
                <w:iCs/>
                <w:color w:val="002060"/>
              </w:rPr>
            </w:pPr>
            <w:r>
              <w:rPr>
                <w:iCs/>
                <w:color w:val="002060"/>
              </w:rPr>
              <w:t>Α</w:t>
            </w:r>
            <w:r w:rsidR="006E6B2F">
              <w:rPr>
                <w:iCs/>
                <w:color w:val="002060"/>
              </w:rPr>
              <w:t>σκήσεις</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9F257B" w:rsidTr="00BF6D32">
        <w:tc>
          <w:tcPr>
            <w:tcW w:w="8472" w:type="dxa"/>
          </w:tcPr>
          <w:p w:rsidR="00546EEF" w:rsidRPr="00A92C23" w:rsidRDefault="00546EEF" w:rsidP="00546EEF">
            <w:pPr>
              <w:autoSpaceDE w:val="0"/>
              <w:autoSpaceDN w:val="0"/>
              <w:adjustRightInd w:val="0"/>
              <w:spacing w:after="0" w:line="240" w:lineRule="auto"/>
              <w:ind w:left="360"/>
              <w:rPr>
                <w:rFonts w:cs="Times New Roman"/>
                <w:b/>
                <w:bCs/>
                <w:i/>
                <w:iCs/>
                <w:color w:val="17365D" w:themeColor="text2" w:themeShade="BF"/>
              </w:rPr>
            </w:pPr>
            <w:r w:rsidRPr="00A92C23">
              <w:rPr>
                <w:rFonts w:cs="Times New Roman"/>
                <w:b/>
                <w:bCs/>
                <w:i/>
                <w:iCs/>
                <w:color w:val="17365D" w:themeColor="text2" w:themeShade="BF"/>
              </w:rPr>
              <w:t>Ελληνόγλωσσα συγγράμματα</w:t>
            </w:r>
          </w:p>
          <w:p w:rsidR="001E5711" w:rsidRPr="0051352E" w:rsidRDefault="001E5711" w:rsidP="00546EEF">
            <w:pPr>
              <w:autoSpaceDE w:val="0"/>
              <w:autoSpaceDN w:val="0"/>
              <w:adjustRightInd w:val="0"/>
              <w:spacing w:after="0" w:line="240" w:lineRule="auto"/>
              <w:ind w:left="360"/>
              <w:rPr>
                <w:rFonts w:cs="Times New Roman"/>
                <w:bCs/>
                <w:i/>
                <w:iCs/>
                <w:color w:val="17365D" w:themeColor="text2" w:themeShade="BF"/>
              </w:rPr>
            </w:pPr>
            <w:proofErr w:type="spellStart"/>
            <w:r w:rsidRPr="0051352E">
              <w:rPr>
                <w:rFonts w:cs="Times New Roman"/>
                <w:bCs/>
                <w:i/>
                <w:iCs/>
                <w:color w:val="17365D" w:themeColor="text2" w:themeShade="BF"/>
                <w:lang w:val="en-US"/>
              </w:rPr>
              <w:t>Mankiw</w:t>
            </w:r>
            <w:proofErr w:type="spellEnd"/>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G</w:t>
            </w:r>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Ball</w:t>
            </w:r>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L</w:t>
            </w:r>
            <w:r w:rsidRPr="0051352E">
              <w:rPr>
                <w:rFonts w:cs="Times New Roman"/>
                <w:bCs/>
                <w:i/>
                <w:iCs/>
                <w:color w:val="17365D" w:themeColor="text2" w:themeShade="BF"/>
              </w:rPr>
              <w:t xml:space="preserve">., Μακροοικονομική και το Χρηματοπιστωτικό Σύστημα, 2013, Εκδόσεις </w:t>
            </w:r>
            <w:r w:rsidRPr="0051352E">
              <w:rPr>
                <w:rFonts w:cs="Times New Roman"/>
                <w:bCs/>
                <w:i/>
                <w:iCs/>
                <w:color w:val="17365D" w:themeColor="text2" w:themeShade="BF"/>
                <w:lang w:val="en-US"/>
              </w:rPr>
              <w:t>Gutenberg</w:t>
            </w:r>
            <w:r w:rsidR="0051352E" w:rsidRPr="0051352E">
              <w:rPr>
                <w:rFonts w:cs="Times New Roman"/>
                <w:bCs/>
                <w:i/>
                <w:iCs/>
                <w:color w:val="17365D" w:themeColor="text2" w:themeShade="BF"/>
              </w:rPr>
              <w:t>(</w:t>
            </w:r>
            <w:r w:rsidR="0051352E" w:rsidRPr="0051352E">
              <w:rPr>
                <w:color w:val="17365D" w:themeColor="text2" w:themeShade="BF"/>
              </w:rPr>
              <w:t>Κωδικός Βιβλίου στον Εύδοξο: 32998856</w:t>
            </w:r>
            <w:r w:rsidR="0051352E" w:rsidRPr="0051352E">
              <w:rPr>
                <w:rFonts w:cs="Times New Roman"/>
                <w:bCs/>
                <w:i/>
                <w:iCs/>
                <w:color w:val="17365D" w:themeColor="text2" w:themeShade="BF"/>
              </w:rPr>
              <w:t>)</w:t>
            </w:r>
          </w:p>
          <w:p w:rsidR="00546EEF" w:rsidRPr="0051352E" w:rsidRDefault="00546EEF" w:rsidP="00546EEF">
            <w:pPr>
              <w:autoSpaceDE w:val="0"/>
              <w:autoSpaceDN w:val="0"/>
              <w:adjustRightInd w:val="0"/>
              <w:spacing w:after="0" w:line="240" w:lineRule="auto"/>
              <w:ind w:left="360"/>
              <w:rPr>
                <w:rFonts w:cs="TimesNewRoman,Bold"/>
                <w:bCs/>
                <w:color w:val="17365D" w:themeColor="text2" w:themeShade="BF"/>
              </w:rPr>
            </w:pPr>
            <w:proofErr w:type="spellStart"/>
            <w:r w:rsidRPr="0051352E">
              <w:rPr>
                <w:rFonts w:cs="Times New Roman"/>
                <w:bCs/>
                <w:i/>
                <w:iCs/>
                <w:color w:val="17365D" w:themeColor="text2" w:themeShade="BF"/>
              </w:rPr>
              <w:t>Blanchard</w:t>
            </w:r>
            <w:proofErr w:type="spellEnd"/>
            <w:r w:rsidRPr="0051352E">
              <w:rPr>
                <w:rFonts w:cs="Times New Roman"/>
                <w:bCs/>
                <w:i/>
                <w:iCs/>
                <w:color w:val="17365D" w:themeColor="text2" w:themeShade="BF"/>
              </w:rPr>
              <w:t xml:space="preserve">, </w:t>
            </w:r>
            <w:r w:rsidRPr="0051352E">
              <w:rPr>
                <w:rFonts w:cs="TimesNewRoman,Italic"/>
                <w:i/>
                <w:iCs/>
                <w:color w:val="17365D" w:themeColor="text2" w:themeShade="BF"/>
              </w:rPr>
              <w:t>Ο</w:t>
            </w:r>
            <w:r w:rsidRPr="0051352E">
              <w:rPr>
                <w:rFonts w:cs="Times New Roman"/>
                <w:bCs/>
                <w:i/>
                <w:iCs/>
                <w:color w:val="17365D" w:themeColor="text2" w:themeShade="BF"/>
              </w:rPr>
              <w:t xml:space="preserve">., </w:t>
            </w:r>
            <w:r w:rsidRPr="0051352E">
              <w:rPr>
                <w:rFonts w:cs="TimesNewRoman,BoldItalic"/>
                <w:bCs/>
                <w:i/>
                <w:iCs/>
                <w:color w:val="17365D" w:themeColor="text2" w:themeShade="BF"/>
              </w:rPr>
              <w:t>Μακροοικονομική</w:t>
            </w:r>
            <w:r w:rsidR="00E32790" w:rsidRPr="0051352E">
              <w:rPr>
                <w:rFonts w:cs="TimesNewRoman,BoldItalic"/>
                <w:bCs/>
                <w:i/>
                <w:iCs/>
                <w:color w:val="17365D" w:themeColor="text2" w:themeShade="BF"/>
              </w:rPr>
              <w:t>,2011, Εκδόσεις Επίκεντρο</w:t>
            </w:r>
            <w:r w:rsidR="0051352E" w:rsidRPr="0051352E">
              <w:rPr>
                <w:rFonts w:cs="TimesNewRoman,BoldItalic"/>
                <w:bCs/>
                <w:i/>
                <w:iCs/>
                <w:color w:val="17365D" w:themeColor="text2" w:themeShade="BF"/>
              </w:rPr>
              <w:t xml:space="preserve"> (</w:t>
            </w:r>
            <w:r w:rsidR="0051352E" w:rsidRPr="0051352E">
              <w:rPr>
                <w:color w:val="17365D" w:themeColor="text2" w:themeShade="BF"/>
              </w:rPr>
              <w:t>Κωδικός Βιβλίου στον Εύδοξο: 22686216</w:t>
            </w:r>
            <w:r w:rsidR="0051352E" w:rsidRPr="0051352E">
              <w:rPr>
                <w:rFonts w:cs="TimesNewRoman,BoldItalic"/>
                <w:bCs/>
                <w:i/>
                <w:iCs/>
                <w:color w:val="17365D" w:themeColor="text2" w:themeShade="BF"/>
              </w:rPr>
              <w:t>)</w:t>
            </w:r>
          </w:p>
          <w:p w:rsidR="00E32790" w:rsidRPr="0051352E" w:rsidRDefault="00E32790" w:rsidP="00E32790">
            <w:pPr>
              <w:autoSpaceDE w:val="0"/>
              <w:autoSpaceDN w:val="0"/>
              <w:adjustRightInd w:val="0"/>
              <w:spacing w:after="0" w:line="240" w:lineRule="auto"/>
              <w:ind w:left="360"/>
              <w:rPr>
                <w:rFonts w:cs="TimesNewRoman,BoldItalic"/>
                <w:bCs/>
                <w:i/>
                <w:iCs/>
                <w:color w:val="17365D" w:themeColor="text2" w:themeShade="BF"/>
              </w:rPr>
            </w:pPr>
            <w:r w:rsidRPr="0051352E">
              <w:rPr>
                <w:rFonts w:cs="Times New Roman"/>
                <w:bCs/>
                <w:i/>
                <w:iCs/>
                <w:color w:val="17365D" w:themeColor="text2" w:themeShade="BF"/>
                <w:lang w:val="en-US"/>
              </w:rPr>
              <w:t>Krugman</w:t>
            </w:r>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Paul</w:t>
            </w:r>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Wells</w:t>
            </w:r>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Robin</w:t>
            </w:r>
            <w:r w:rsidRPr="0051352E">
              <w:rPr>
                <w:rFonts w:cs="Times New Roman"/>
                <w:bCs/>
                <w:i/>
                <w:iCs/>
                <w:color w:val="17365D" w:themeColor="text2" w:themeShade="BF"/>
              </w:rPr>
              <w:t>,</w:t>
            </w:r>
            <w:r w:rsidR="00A92C23" w:rsidRPr="0051352E">
              <w:rPr>
                <w:rFonts w:cs="Times New Roman"/>
                <w:bCs/>
                <w:i/>
                <w:iCs/>
                <w:color w:val="17365D" w:themeColor="text2" w:themeShade="BF"/>
              </w:rPr>
              <w:t>Μακροοικονομική,</w:t>
            </w:r>
            <w:r w:rsidRPr="0051352E">
              <w:rPr>
                <w:rFonts w:cs="Times New Roman"/>
                <w:bCs/>
                <w:i/>
                <w:iCs/>
                <w:color w:val="17365D" w:themeColor="text2" w:themeShade="BF"/>
              </w:rPr>
              <w:t xml:space="preserve"> 2009, </w:t>
            </w:r>
            <w:r w:rsidRPr="0051352E">
              <w:rPr>
                <w:rFonts w:cs="TimesNewRoman,BoldItalic"/>
                <w:bCs/>
                <w:i/>
                <w:iCs/>
                <w:color w:val="17365D" w:themeColor="text2" w:themeShade="BF"/>
              </w:rPr>
              <w:t>Εκδόσεις Επίκεντρο</w:t>
            </w:r>
            <w:r w:rsidR="0051352E">
              <w:rPr>
                <w:rFonts w:cs="TimesNewRoman,BoldItalic"/>
                <w:bCs/>
                <w:i/>
                <w:iCs/>
                <w:color w:val="17365D" w:themeColor="text2" w:themeShade="BF"/>
              </w:rPr>
              <w:t xml:space="preserve"> </w:t>
            </w:r>
            <w:r w:rsidR="0051352E" w:rsidRPr="0051352E">
              <w:rPr>
                <w:rFonts w:cs="TimesNewRoman,BoldItalic"/>
                <w:bCs/>
                <w:i/>
                <w:iCs/>
                <w:color w:val="17365D" w:themeColor="text2" w:themeShade="BF"/>
              </w:rPr>
              <w:t>(</w:t>
            </w:r>
            <w:r w:rsidR="0051352E" w:rsidRPr="0051352E">
              <w:rPr>
                <w:color w:val="17365D" w:themeColor="text2" w:themeShade="BF"/>
              </w:rPr>
              <w:t>Κωδικός Βιβλίου στον Εύδοξο: 15082</w:t>
            </w:r>
            <w:r w:rsidR="0051352E" w:rsidRPr="0051352E">
              <w:rPr>
                <w:rFonts w:cs="TimesNewRoman,BoldItalic"/>
                <w:bCs/>
                <w:i/>
                <w:iCs/>
                <w:color w:val="17365D" w:themeColor="text2" w:themeShade="BF"/>
              </w:rPr>
              <w:t>)</w:t>
            </w:r>
          </w:p>
          <w:p w:rsidR="00E32790" w:rsidRPr="0051352E" w:rsidRDefault="00A92C23" w:rsidP="00E32790">
            <w:pPr>
              <w:autoSpaceDE w:val="0"/>
              <w:autoSpaceDN w:val="0"/>
              <w:adjustRightInd w:val="0"/>
              <w:spacing w:after="0" w:line="240" w:lineRule="auto"/>
              <w:ind w:left="360"/>
              <w:rPr>
                <w:rFonts w:cs="Times New Roman"/>
                <w:bCs/>
                <w:i/>
                <w:iCs/>
                <w:color w:val="17365D" w:themeColor="text2" w:themeShade="BF"/>
              </w:rPr>
            </w:pPr>
            <w:proofErr w:type="spellStart"/>
            <w:r w:rsidRPr="0051352E">
              <w:rPr>
                <w:rFonts w:cs="Times New Roman"/>
                <w:bCs/>
                <w:i/>
                <w:iCs/>
                <w:color w:val="17365D" w:themeColor="text2" w:themeShade="BF"/>
                <w:lang w:val="en-US"/>
              </w:rPr>
              <w:t>Stiglitz</w:t>
            </w:r>
            <w:proofErr w:type="spellEnd"/>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J</w:t>
            </w:r>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Walsh</w:t>
            </w:r>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C</w:t>
            </w:r>
            <w:r w:rsidRPr="0051352E">
              <w:rPr>
                <w:rFonts w:cs="Times New Roman"/>
                <w:bCs/>
                <w:i/>
                <w:iCs/>
                <w:color w:val="17365D" w:themeColor="text2" w:themeShade="BF"/>
              </w:rPr>
              <w:t>., 2009, Αρχές της Μακροοικονομικής, Εκδόσεις Παπαζήση</w:t>
            </w:r>
            <w:r w:rsidR="0051352E" w:rsidRPr="0051352E">
              <w:rPr>
                <w:rFonts w:cs="Times New Roman"/>
                <w:bCs/>
                <w:i/>
                <w:iCs/>
                <w:color w:val="17365D" w:themeColor="text2" w:themeShade="BF"/>
              </w:rPr>
              <w:t xml:space="preserve"> (</w:t>
            </w:r>
            <w:r w:rsidR="0051352E" w:rsidRPr="0051352E">
              <w:rPr>
                <w:color w:val="17365D" w:themeColor="text2" w:themeShade="BF"/>
              </w:rPr>
              <w:t>Κωδικός Βιβλίου στον Εύδοξο: 34057</w:t>
            </w:r>
            <w:r w:rsidR="0051352E" w:rsidRPr="0051352E">
              <w:rPr>
                <w:rFonts w:cs="Times New Roman"/>
                <w:bCs/>
                <w:i/>
                <w:iCs/>
                <w:color w:val="17365D" w:themeColor="text2" w:themeShade="BF"/>
              </w:rPr>
              <w:t>)</w:t>
            </w:r>
          </w:p>
          <w:p w:rsidR="00A92C23" w:rsidRPr="0051352E" w:rsidRDefault="00A92C23" w:rsidP="00A92C23">
            <w:pPr>
              <w:autoSpaceDE w:val="0"/>
              <w:autoSpaceDN w:val="0"/>
              <w:adjustRightInd w:val="0"/>
              <w:spacing w:after="0" w:line="240" w:lineRule="auto"/>
              <w:ind w:left="360"/>
              <w:rPr>
                <w:rFonts w:cs="TimesNewRoman,Bold"/>
                <w:bCs/>
                <w:color w:val="17365D" w:themeColor="text2" w:themeShade="BF"/>
              </w:rPr>
            </w:pPr>
            <w:proofErr w:type="spellStart"/>
            <w:r w:rsidRPr="0051352E">
              <w:rPr>
                <w:rFonts w:cs="Times New Roman"/>
                <w:bCs/>
                <w:i/>
                <w:iCs/>
                <w:color w:val="17365D" w:themeColor="text2" w:themeShade="BF"/>
                <w:lang w:val="en-US"/>
              </w:rPr>
              <w:t>Burda</w:t>
            </w:r>
            <w:proofErr w:type="spellEnd"/>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M</w:t>
            </w:r>
            <w:r w:rsidRPr="0051352E">
              <w:rPr>
                <w:rFonts w:cs="Times New Roman"/>
                <w:bCs/>
                <w:i/>
                <w:iCs/>
                <w:color w:val="17365D" w:themeColor="text2" w:themeShade="BF"/>
              </w:rPr>
              <w:t xml:space="preserve">., </w:t>
            </w:r>
            <w:proofErr w:type="spellStart"/>
            <w:r w:rsidRPr="0051352E">
              <w:rPr>
                <w:rFonts w:cs="Times New Roman"/>
                <w:bCs/>
                <w:i/>
                <w:iCs/>
                <w:color w:val="17365D" w:themeColor="text2" w:themeShade="BF"/>
                <w:lang w:val="en-US"/>
              </w:rPr>
              <w:t>Wyplosz</w:t>
            </w:r>
            <w:proofErr w:type="spellEnd"/>
            <w:r w:rsidRPr="0051352E">
              <w:rPr>
                <w:rFonts w:cs="Times New Roman"/>
                <w:bCs/>
                <w:i/>
                <w:iCs/>
                <w:color w:val="17365D" w:themeColor="text2" w:themeShade="BF"/>
              </w:rPr>
              <w:t xml:space="preserve"> </w:t>
            </w:r>
            <w:r w:rsidRPr="0051352E">
              <w:rPr>
                <w:rFonts w:cs="Times New Roman"/>
                <w:bCs/>
                <w:i/>
                <w:iCs/>
                <w:color w:val="17365D" w:themeColor="text2" w:themeShade="BF"/>
                <w:lang w:val="en-US"/>
              </w:rPr>
              <w:t>C</w:t>
            </w:r>
            <w:r w:rsidRPr="0051352E">
              <w:rPr>
                <w:rFonts w:cs="Times New Roman"/>
                <w:bCs/>
                <w:i/>
                <w:iCs/>
                <w:color w:val="17365D" w:themeColor="text2" w:themeShade="BF"/>
              </w:rPr>
              <w:t xml:space="preserve">., Ευρωπαϊκή Μακροοικονομική, </w:t>
            </w:r>
            <w:r w:rsidR="0051352E">
              <w:rPr>
                <w:rFonts w:cs="Times New Roman"/>
                <w:bCs/>
                <w:i/>
                <w:iCs/>
                <w:color w:val="17365D" w:themeColor="text2" w:themeShade="BF"/>
              </w:rPr>
              <w:t>Ενιαίο</w:t>
            </w:r>
            <w:r w:rsidRPr="0051352E">
              <w:rPr>
                <w:rFonts w:cs="Times New Roman"/>
                <w:bCs/>
                <w:i/>
                <w:iCs/>
                <w:color w:val="17365D" w:themeColor="text2" w:themeShade="BF"/>
              </w:rPr>
              <w:t xml:space="preserve">, 2005, Εκδόσεις </w:t>
            </w:r>
            <w:r w:rsidRPr="0051352E">
              <w:rPr>
                <w:rFonts w:cs="Times New Roman"/>
                <w:bCs/>
                <w:i/>
                <w:iCs/>
                <w:color w:val="17365D" w:themeColor="text2" w:themeShade="BF"/>
                <w:lang w:val="en-US"/>
              </w:rPr>
              <w:t>Gutenberg</w:t>
            </w:r>
            <w:r w:rsidR="0051352E" w:rsidRPr="0051352E">
              <w:rPr>
                <w:rFonts w:cs="Times New Roman"/>
                <w:bCs/>
                <w:i/>
                <w:iCs/>
                <w:color w:val="17365D" w:themeColor="text2" w:themeShade="BF"/>
              </w:rPr>
              <w:t>(</w:t>
            </w:r>
            <w:r w:rsidR="0051352E" w:rsidRPr="0051352E">
              <w:rPr>
                <w:color w:val="17365D" w:themeColor="text2" w:themeShade="BF"/>
              </w:rPr>
              <w:t>Κωδικός Βιβλίου στον Εύδοξο: 32194</w:t>
            </w:r>
            <w:r w:rsidR="0051352E" w:rsidRPr="0051352E">
              <w:rPr>
                <w:rFonts w:cs="Times New Roman"/>
                <w:bCs/>
                <w:i/>
                <w:iCs/>
                <w:color w:val="17365D" w:themeColor="text2" w:themeShade="BF"/>
              </w:rPr>
              <w:t>)</w:t>
            </w:r>
          </w:p>
          <w:p w:rsidR="00546EEF" w:rsidRPr="00A92C23" w:rsidRDefault="00546EEF" w:rsidP="00546EEF">
            <w:pPr>
              <w:autoSpaceDE w:val="0"/>
              <w:autoSpaceDN w:val="0"/>
              <w:adjustRightInd w:val="0"/>
              <w:spacing w:after="0" w:line="240" w:lineRule="auto"/>
              <w:ind w:left="360"/>
              <w:rPr>
                <w:rFonts w:cs="TimesNewRoman,Bold"/>
                <w:b/>
                <w:bCs/>
                <w:color w:val="17365D" w:themeColor="text2" w:themeShade="BF"/>
              </w:rPr>
            </w:pPr>
          </w:p>
          <w:p w:rsidR="00546EEF" w:rsidRPr="009976DD" w:rsidRDefault="00546EEF" w:rsidP="00546EEF">
            <w:pPr>
              <w:autoSpaceDE w:val="0"/>
              <w:autoSpaceDN w:val="0"/>
              <w:adjustRightInd w:val="0"/>
              <w:spacing w:after="0" w:line="240" w:lineRule="auto"/>
              <w:ind w:left="360"/>
              <w:rPr>
                <w:rFonts w:cs="Times New Roman"/>
                <w:b/>
                <w:bCs/>
                <w:i/>
                <w:color w:val="17365D" w:themeColor="text2" w:themeShade="BF"/>
                <w:lang w:val="en-US"/>
              </w:rPr>
            </w:pPr>
            <w:r w:rsidRPr="00A92C23">
              <w:rPr>
                <w:rFonts w:cs="TimesNewRoman,Bold"/>
                <w:b/>
                <w:bCs/>
                <w:i/>
                <w:color w:val="17365D" w:themeColor="text2" w:themeShade="BF"/>
              </w:rPr>
              <w:t>Ξενόγλωσσα</w:t>
            </w:r>
            <w:r w:rsidRPr="009976DD">
              <w:rPr>
                <w:rFonts w:cs="TimesNewRoman,Bold"/>
                <w:b/>
                <w:bCs/>
                <w:i/>
                <w:color w:val="17365D" w:themeColor="text2" w:themeShade="BF"/>
                <w:lang w:val="en-US"/>
              </w:rPr>
              <w:t xml:space="preserve"> </w:t>
            </w:r>
            <w:r w:rsidRPr="00A92C23">
              <w:rPr>
                <w:rFonts w:cs="TimesNewRoman,Bold"/>
                <w:b/>
                <w:bCs/>
                <w:i/>
                <w:color w:val="17365D" w:themeColor="text2" w:themeShade="BF"/>
              </w:rPr>
              <w:t>συγγράμματα</w:t>
            </w:r>
            <w:r w:rsidRPr="009976DD">
              <w:rPr>
                <w:rFonts w:cs="Times New Roman"/>
                <w:b/>
                <w:bCs/>
                <w:i/>
                <w:color w:val="17365D" w:themeColor="text2" w:themeShade="BF"/>
                <w:lang w:val="en-US"/>
              </w:rPr>
              <w:t>:</w:t>
            </w:r>
          </w:p>
          <w:p w:rsidR="00546EEF" w:rsidRPr="009976DD" w:rsidRDefault="00546EEF" w:rsidP="00546EEF">
            <w:pPr>
              <w:autoSpaceDE w:val="0"/>
              <w:autoSpaceDN w:val="0"/>
              <w:adjustRightInd w:val="0"/>
              <w:spacing w:after="0" w:line="240" w:lineRule="auto"/>
              <w:ind w:left="360"/>
              <w:rPr>
                <w:rFonts w:cs="Times New Roman"/>
                <w:color w:val="17365D" w:themeColor="text2" w:themeShade="BF"/>
                <w:lang w:val="en-US"/>
              </w:rPr>
            </w:pPr>
            <w:r w:rsidRPr="00A92C23">
              <w:rPr>
                <w:rFonts w:cs="Times New Roman"/>
                <w:color w:val="17365D" w:themeColor="text2" w:themeShade="BF"/>
                <w:lang w:val="en-US"/>
              </w:rPr>
              <w:t>R</w:t>
            </w:r>
            <w:r w:rsidRPr="009976DD">
              <w:rPr>
                <w:rFonts w:cs="Times New Roman"/>
                <w:color w:val="17365D" w:themeColor="text2" w:themeShade="BF"/>
                <w:lang w:val="en-US"/>
              </w:rPr>
              <w:t xml:space="preserve">. </w:t>
            </w:r>
            <w:proofErr w:type="spellStart"/>
            <w:r w:rsidRPr="00A92C23">
              <w:rPr>
                <w:rFonts w:cs="Times New Roman"/>
                <w:color w:val="17365D" w:themeColor="text2" w:themeShade="BF"/>
                <w:lang w:val="en-US"/>
              </w:rPr>
              <w:t>Barro</w:t>
            </w:r>
            <w:proofErr w:type="spellEnd"/>
            <w:r w:rsidRPr="009976DD">
              <w:rPr>
                <w:rFonts w:cs="Times New Roman"/>
                <w:color w:val="17365D" w:themeColor="text2" w:themeShade="BF"/>
                <w:lang w:val="en-US"/>
              </w:rPr>
              <w:t xml:space="preserve">, </w:t>
            </w:r>
            <w:r w:rsidRPr="00A92C23">
              <w:rPr>
                <w:rFonts w:cs="Times New Roman"/>
                <w:iCs/>
                <w:color w:val="17365D" w:themeColor="text2" w:themeShade="BF"/>
                <w:lang w:val="en-US"/>
              </w:rPr>
              <w:t>Macroeconomics</w:t>
            </w:r>
            <w:r w:rsidRPr="009976DD">
              <w:rPr>
                <w:rFonts w:cs="Times New Roman"/>
                <w:iCs/>
                <w:color w:val="17365D" w:themeColor="text2" w:themeShade="BF"/>
                <w:lang w:val="en-US"/>
              </w:rPr>
              <w:t xml:space="preserve">, </w:t>
            </w:r>
            <w:r w:rsidRPr="00A92C23">
              <w:rPr>
                <w:rFonts w:cs="Times New Roman"/>
                <w:color w:val="17365D" w:themeColor="text2" w:themeShade="BF"/>
                <w:lang w:val="en-US"/>
              </w:rPr>
              <w:t>MIT</w:t>
            </w:r>
            <w:r w:rsidRPr="009976DD">
              <w:rPr>
                <w:rFonts w:cs="Times New Roman"/>
                <w:color w:val="17365D" w:themeColor="text2" w:themeShade="BF"/>
                <w:lang w:val="en-US"/>
              </w:rPr>
              <w:t xml:space="preserve"> </w:t>
            </w:r>
            <w:r w:rsidRPr="00A92C23">
              <w:rPr>
                <w:rFonts w:cs="Times New Roman"/>
                <w:color w:val="17365D" w:themeColor="text2" w:themeShade="BF"/>
                <w:lang w:val="en-US"/>
              </w:rPr>
              <w:t>Press</w:t>
            </w:r>
          </w:p>
          <w:p w:rsidR="00546EEF" w:rsidRPr="009976DD" w:rsidRDefault="00546EEF" w:rsidP="00546EEF">
            <w:pPr>
              <w:autoSpaceDE w:val="0"/>
              <w:autoSpaceDN w:val="0"/>
              <w:adjustRightInd w:val="0"/>
              <w:spacing w:after="0" w:line="240" w:lineRule="auto"/>
              <w:ind w:left="360"/>
              <w:rPr>
                <w:rFonts w:cs="Times New Roman"/>
                <w:color w:val="17365D" w:themeColor="text2" w:themeShade="BF"/>
                <w:lang w:val="en-US"/>
              </w:rPr>
            </w:pPr>
            <w:r w:rsidRPr="00A92C23">
              <w:rPr>
                <w:rFonts w:cs="Times New Roman"/>
                <w:color w:val="17365D" w:themeColor="text2" w:themeShade="BF"/>
                <w:lang w:val="en-US"/>
              </w:rPr>
              <w:t>R</w:t>
            </w:r>
            <w:r w:rsidRPr="009976DD">
              <w:rPr>
                <w:rFonts w:cs="Times New Roman"/>
                <w:color w:val="17365D" w:themeColor="text2" w:themeShade="BF"/>
                <w:lang w:val="en-US"/>
              </w:rPr>
              <w:t xml:space="preserve">. </w:t>
            </w:r>
            <w:proofErr w:type="spellStart"/>
            <w:r w:rsidRPr="00A92C23">
              <w:rPr>
                <w:rFonts w:cs="Times New Roman"/>
                <w:color w:val="17365D" w:themeColor="text2" w:themeShade="BF"/>
                <w:lang w:val="en-US"/>
              </w:rPr>
              <w:t>Barro</w:t>
            </w:r>
            <w:proofErr w:type="spellEnd"/>
            <w:r w:rsidRPr="009976DD">
              <w:rPr>
                <w:rFonts w:cs="Times New Roman"/>
                <w:color w:val="17365D" w:themeColor="text2" w:themeShade="BF"/>
                <w:lang w:val="en-US"/>
              </w:rPr>
              <w:t xml:space="preserve"> &amp; </w:t>
            </w:r>
            <w:r w:rsidRPr="00A92C23">
              <w:rPr>
                <w:rFonts w:cs="Times New Roman"/>
                <w:color w:val="17365D" w:themeColor="text2" w:themeShade="BF"/>
                <w:lang w:val="en-US"/>
              </w:rPr>
              <w:t>Sala</w:t>
            </w:r>
            <w:r w:rsidRPr="009976DD">
              <w:rPr>
                <w:rFonts w:cs="Times New Roman"/>
                <w:color w:val="17365D" w:themeColor="text2" w:themeShade="BF"/>
                <w:lang w:val="en-US"/>
              </w:rPr>
              <w:t>-</w:t>
            </w:r>
            <w:proofErr w:type="spellStart"/>
            <w:r w:rsidRPr="00A92C23">
              <w:rPr>
                <w:rFonts w:cs="Times New Roman"/>
                <w:color w:val="17365D" w:themeColor="text2" w:themeShade="BF"/>
                <w:lang w:val="en-US"/>
              </w:rPr>
              <w:t>i</w:t>
            </w:r>
            <w:proofErr w:type="spellEnd"/>
            <w:r w:rsidRPr="009976DD">
              <w:rPr>
                <w:rFonts w:cs="Times New Roman"/>
                <w:color w:val="17365D" w:themeColor="text2" w:themeShade="BF"/>
                <w:lang w:val="en-US"/>
              </w:rPr>
              <w:t>-</w:t>
            </w:r>
            <w:r w:rsidRPr="00A92C23">
              <w:rPr>
                <w:rFonts w:cs="Times New Roman"/>
                <w:color w:val="17365D" w:themeColor="text2" w:themeShade="BF"/>
                <w:lang w:val="en-US"/>
              </w:rPr>
              <w:t>Martin</w:t>
            </w:r>
            <w:r w:rsidRPr="009976DD">
              <w:rPr>
                <w:rFonts w:cs="Times New Roman"/>
                <w:color w:val="17365D" w:themeColor="text2" w:themeShade="BF"/>
                <w:lang w:val="en-US"/>
              </w:rPr>
              <w:t xml:space="preserve">, </w:t>
            </w:r>
            <w:r w:rsidRPr="00A92C23">
              <w:rPr>
                <w:rFonts w:cs="Times New Roman"/>
                <w:color w:val="17365D" w:themeColor="text2" w:themeShade="BF"/>
                <w:lang w:val="en-US"/>
              </w:rPr>
              <w:t>X</w:t>
            </w:r>
            <w:r w:rsidRPr="009976DD">
              <w:rPr>
                <w:rFonts w:cs="Times New Roman"/>
                <w:color w:val="17365D" w:themeColor="text2" w:themeShade="BF"/>
                <w:lang w:val="en-US"/>
              </w:rPr>
              <w:t xml:space="preserve">., </w:t>
            </w:r>
            <w:r w:rsidRPr="00A92C23">
              <w:rPr>
                <w:rFonts w:cs="Times New Roman"/>
                <w:color w:val="17365D" w:themeColor="text2" w:themeShade="BF"/>
                <w:lang w:val="en-US"/>
              </w:rPr>
              <w:t>Economic</w:t>
            </w:r>
            <w:r w:rsidRPr="009976DD">
              <w:rPr>
                <w:rFonts w:cs="Times New Roman"/>
                <w:color w:val="17365D" w:themeColor="text2" w:themeShade="BF"/>
                <w:lang w:val="en-US"/>
              </w:rPr>
              <w:t xml:space="preserve"> </w:t>
            </w:r>
            <w:r w:rsidRPr="00A92C23">
              <w:rPr>
                <w:rFonts w:cs="Times New Roman"/>
                <w:color w:val="17365D" w:themeColor="text2" w:themeShade="BF"/>
                <w:lang w:val="en-US"/>
              </w:rPr>
              <w:t>Growth</w:t>
            </w:r>
            <w:r w:rsidRPr="009976DD">
              <w:rPr>
                <w:rFonts w:cs="Times New Roman"/>
                <w:iCs/>
                <w:color w:val="17365D" w:themeColor="text2" w:themeShade="BF"/>
                <w:lang w:val="en-US"/>
              </w:rPr>
              <w:t xml:space="preserve">, </w:t>
            </w:r>
            <w:r w:rsidRPr="009976DD">
              <w:rPr>
                <w:rFonts w:cs="Times New Roman"/>
                <w:color w:val="17365D" w:themeColor="text2" w:themeShade="BF"/>
                <w:lang w:val="en-US"/>
              </w:rPr>
              <w:t xml:space="preserve">2004, </w:t>
            </w:r>
            <w:r w:rsidRPr="00A92C23">
              <w:rPr>
                <w:rFonts w:cs="Times New Roman"/>
                <w:color w:val="17365D" w:themeColor="text2" w:themeShade="BF"/>
                <w:lang w:val="en-US"/>
              </w:rPr>
              <w:t>MIT</w:t>
            </w:r>
            <w:r w:rsidRPr="009976DD">
              <w:rPr>
                <w:rFonts w:cs="Times New Roman"/>
                <w:color w:val="17365D" w:themeColor="text2" w:themeShade="BF"/>
                <w:lang w:val="en-US"/>
              </w:rPr>
              <w:t xml:space="preserve"> </w:t>
            </w:r>
            <w:r w:rsidRPr="00A92C23">
              <w:rPr>
                <w:rFonts w:cs="Times New Roman"/>
                <w:color w:val="17365D" w:themeColor="text2" w:themeShade="BF"/>
                <w:lang w:val="en-US"/>
              </w:rPr>
              <w:t>Press</w:t>
            </w:r>
          </w:p>
          <w:p w:rsidR="00546EEF" w:rsidRPr="00A92C23" w:rsidRDefault="00546EEF" w:rsidP="00546EEF">
            <w:pPr>
              <w:autoSpaceDE w:val="0"/>
              <w:autoSpaceDN w:val="0"/>
              <w:adjustRightInd w:val="0"/>
              <w:spacing w:after="0" w:line="240" w:lineRule="auto"/>
              <w:ind w:left="360"/>
              <w:rPr>
                <w:rFonts w:cs="Times New Roman"/>
                <w:color w:val="17365D" w:themeColor="text2" w:themeShade="BF"/>
                <w:lang w:val="en-US"/>
              </w:rPr>
            </w:pPr>
            <w:r w:rsidRPr="00A92C23">
              <w:rPr>
                <w:rFonts w:cs="Times New Roman"/>
                <w:color w:val="17365D" w:themeColor="text2" w:themeShade="BF"/>
                <w:lang w:val="en-US"/>
              </w:rPr>
              <w:t>D</w:t>
            </w:r>
            <w:r w:rsidRPr="009976DD">
              <w:rPr>
                <w:rFonts w:cs="Times New Roman"/>
                <w:color w:val="17365D" w:themeColor="text2" w:themeShade="BF"/>
                <w:lang w:val="en-US"/>
              </w:rPr>
              <w:t xml:space="preserve">. </w:t>
            </w:r>
            <w:r w:rsidRPr="00A92C23">
              <w:rPr>
                <w:rFonts w:cs="Times New Roman"/>
                <w:color w:val="17365D" w:themeColor="text2" w:themeShade="BF"/>
                <w:lang w:val="en-US"/>
              </w:rPr>
              <w:t>Weil, Economic Growth, 2nd edition, 2009, Pearson Addison-Wesley</w:t>
            </w:r>
          </w:p>
          <w:p w:rsidR="00546EEF" w:rsidRPr="00A92C23" w:rsidRDefault="00546EEF" w:rsidP="00546EEF">
            <w:pPr>
              <w:autoSpaceDE w:val="0"/>
              <w:autoSpaceDN w:val="0"/>
              <w:adjustRightInd w:val="0"/>
              <w:spacing w:after="0" w:line="240" w:lineRule="auto"/>
              <w:ind w:left="360"/>
              <w:rPr>
                <w:rFonts w:cs="Times New Roman"/>
                <w:color w:val="17365D" w:themeColor="text2" w:themeShade="BF"/>
                <w:lang w:val="en-US"/>
              </w:rPr>
            </w:pPr>
            <w:r w:rsidRPr="00A92C23">
              <w:rPr>
                <w:rFonts w:cs="Times New Roman"/>
                <w:color w:val="17365D" w:themeColor="text2" w:themeShade="BF"/>
                <w:lang w:val="en-US"/>
              </w:rPr>
              <w:lastRenderedPageBreak/>
              <w:t xml:space="preserve">W. Carlin &amp; D. </w:t>
            </w:r>
            <w:proofErr w:type="spellStart"/>
            <w:r w:rsidRPr="00A92C23">
              <w:rPr>
                <w:rFonts w:cs="Times New Roman"/>
                <w:color w:val="17365D" w:themeColor="text2" w:themeShade="BF"/>
                <w:lang w:val="en-US"/>
              </w:rPr>
              <w:t>Socskice</w:t>
            </w:r>
            <w:proofErr w:type="spellEnd"/>
            <w:r w:rsidRPr="00A92C23">
              <w:rPr>
                <w:rFonts w:cs="Times New Roman"/>
                <w:color w:val="17365D" w:themeColor="text2" w:themeShade="BF"/>
                <w:lang w:val="en-US"/>
              </w:rPr>
              <w:t xml:space="preserve">, </w:t>
            </w:r>
            <w:r w:rsidRPr="00A92C23">
              <w:rPr>
                <w:rFonts w:cs="Times New Roman"/>
                <w:iCs/>
                <w:color w:val="17365D" w:themeColor="text2" w:themeShade="BF"/>
                <w:lang w:val="en-US"/>
              </w:rPr>
              <w:t xml:space="preserve">Macroeconomics, </w:t>
            </w:r>
            <w:r w:rsidRPr="00A92C23">
              <w:rPr>
                <w:rFonts w:cs="Times New Roman"/>
                <w:color w:val="17365D" w:themeColor="text2" w:themeShade="BF"/>
                <w:lang w:val="en-US"/>
              </w:rPr>
              <w:t>Prentice-Hall</w:t>
            </w:r>
          </w:p>
          <w:p w:rsidR="008A3445" w:rsidRPr="00A92C23" w:rsidRDefault="00546EEF" w:rsidP="00546EEF">
            <w:pPr>
              <w:autoSpaceDE w:val="0"/>
              <w:autoSpaceDN w:val="0"/>
              <w:adjustRightInd w:val="0"/>
              <w:spacing w:after="0" w:line="240" w:lineRule="auto"/>
              <w:ind w:left="360"/>
              <w:rPr>
                <w:rFonts w:ascii="Calibri" w:eastAsia="Times New Roman" w:hAnsi="Calibri" w:cs="Arial"/>
                <w:b/>
                <w:lang w:val="en-US"/>
              </w:rPr>
            </w:pPr>
            <w:r w:rsidRPr="00A92C23">
              <w:rPr>
                <w:rFonts w:cs="Times New Roman"/>
                <w:color w:val="17365D" w:themeColor="text2" w:themeShade="BF"/>
                <w:lang w:val="en-US"/>
              </w:rPr>
              <w:t xml:space="preserve">G. </w:t>
            </w:r>
            <w:r w:rsidRPr="00A92C23">
              <w:rPr>
                <w:rFonts w:cs="TimesNewRoman"/>
                <w:color w:val="17365D" w:themeColor="text2" w:themeShade="BF"/>
              </w:rPr>
              <w:t>Μ</w:t>
            </w:r>
            <w:proofErr w:type="spellStart"/>
            <w:r w:rsidRPr="00A92C23">
              <w:rPr>
                <w:rFonts w:cs="Times New Roman"/>
                <w:color w:val="17365D" w:themeColor="text2" w:themeShade="BF"/>
                <w:lang w:val="en-US"/>
              </w:rPr>
              <w:t>ankiw</w:t>
            </w:r>
            <w:proofErr w:type="spellEnd"/>
            <w:r w:rsidRPr="00A92C23">
              <w:rPr>
                <w:rFonts w:cs="Times New Roman"/>
                <w:color w:val="17365D" w:themeColor="text2" w:themeShade="BF"/>
                <w:lang w:val="en-US"/>
              </w:rPr>
              <w:t xml:space="preserve">, </w:t>
            </w:r>
            <w:r w:rsidRPr="00A92C23">
              <w:rPr>
                <w:rFonts w:cs="Times New Roman"/>
                <w:iCs/>
                <w:color w:val="17365D" w:themeColor="text2" w:themeShade="BF"/>
                <w:lang w:val="en-US"/>
              </w:rPr>
              <w:t xml:space="preserve">Macroeconomics, </w:t>
            </w:r>
            <w:r w:rsidRPr="00A92C23">
              <w:rPr>
                <w:rFonts w:cs="Times New Roman"/>
                <w:color w:val="17365D" w:themeColor="text2" w:themeShade="BF"/>
                <w:lang w:val="en-US"/>
              </w:rPr>
              <w:t>Worth Publishers</w:t>
            </w:r>
          </w:p>
        </w:tc>
      </w:tr>
    </w:tbl>
    <w:p w:rsidR="00050B81" w:rsidRPr="00A92C23" w:rsidRDefault="00050B81" w:rsidP="00050B81">
      <w:pPr>
        <w:spacing w:after="0" w:line="240" w:lineRule="auto"/>
        <w:jc w:val="both"/>
        <w:rPr>
          <w:rFonts w:ascii="Cambria" w:eastAsia="Times New Roman" w:hAnsi="Cambria" w:cs="Times New Roman"/>
          <w:lang w:val="en-US"/>
        </w:rPr>
      </w:pPr>
    </w:p>
    <w:p w:rsidR="00050B81" w:rsidRPr="00546EEF" w:rsidRDefault="00050B81" w:rsidP="00050B81">
      <w:pPr>
        <w:spacing w:after="0" w:line="240" w:lineRule="auto"/>
        <w:rPr>
          <w:rFonts w:ascii="Times New Roman" w:eastAsia="Times New Roman" w:hAnsi="Times New Roman" w:cs="Times New Roman"/>
          <w:sz w:val="24"/>
          <w:szCs w:val="24"/>
          <w:lang w:val="en-US"/>
        </w:rPr>
      </w:pPr>
    </w:p>
    <w:p w:rsidR="00B66EDB" w:rsidRPr="00546EEF" w:rsidRDefault="00B66EDB">
      <w:pPr>
        <w:rPr>
          <w:lang w:val="en-US"/>
        </w:rPr>
      </w:pPr>
    </w:p>
    <w:sectPr w:rsidR="00B66EDB" w:rsidRPr="00546EEF" w:rsidSect="002938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TimesNewRoman,Italic">
    <w:panose1 w:val="00000000000000000000"/>
    <w:charset w:val="A1"/>
    <w:family w:val="auto"/>
    <w:notTrueType/>
    <w:pitch w:val="default"/>
    <w:sig w:usb0="00000081" w:usb1="00000000" w:usb2="00000000" w:usb3="00000000" w:csb0="00000008" w:csb1="00000000"/>
  </w:font>
  <w:font w:name="TimesNewRoman,BoldItalic">
    <w:panose1 w:val="00000000000000000000"/>
    <w:charset w:val="A1"/>
    <w:family w:val="auto"/>
    <w:notTrueType/>
    <w:pitch w:val="default"/>
    <w:sig w:usb0="00000081" w:usb1="00000000" w:usb2="00000000" w:usb3="00000000" w:csb0="00000008" w:csb1="00000000"/>
  </w:font>
  <w:font w:name="TimesNew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clip_image001"/>
      </v:shape>
    </w:pict>
  </w:numPicBullet>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4E13BFF"/>
    <w:multiLevelType w:val="hybridMultilevel"/>
    <w:tmpl w:val="A5BC91E2"/>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A726B"/>
    <w:multiLevelType w:val="hybridMultilevel"/>
    <w:tmpl w:val="39164CEE"/>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0C49"/>
    <w:multiLevelType w:val="hybridMultilevel"/>
    <w:tmpl w:val="F314E5EE"/>
    <w:lvl w:ilvl="0" w:tplc="D7126232">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60C8D"/>
    <w:multiLevelType w:val="hybridMultilevel"/>
    <w:tmpl w:val="3F0C37CA"/>
    <w:lvl w:ilvl="0" w:tplc="D7126232">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35428"/>
    <w:multiLevelType w:val="hybridMultilevel"/>
    <w:tmpl w:val="B96AC1C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E1E49F6"/>
    <w:multiLevelType w:val="hybridMultilevel"/>
    <w:tmpl w:val="8B805460"/>
    <w:lvl w:ilvl="0" w:tplc="04080007">
      <w:start w:val="1"/>
      <w:numFmt w:val="bullet"/>
      <w:lvlText w:val=""/>
      <w:lvlPicBulletId w:val="0"/>
      <w:lvlJc w:val="left"/>
      <w:pPr>
        <w:tabs>
          <w:tab w:val="num" w:pos="760"/>
        </w:tabs>
        <w:ind w:left="760" w:hanging="360"/>
      </w:pPr>
      <w:rPr>
        <w:rFonts w:ascii="Symbol" w:hAnsi="Symbol" w:hint="default"/>
      </w:rPr>
    </w:lvl>
    <w:lvl w:ilvl="1" w:tplc="04080003">
      <w:start w:val="1"/>
      <w:numFmt w:val="bullet"/>
      <w:lvlText w:val="o"/>
      <w:lvlJc w:val="left"/>
      <w:pPr>
        <w:tabs>
          <w:tab w:val="num" w:pos="1480"/>
        </w:tabs>
        <w:ind w:left="1480" w:hanging="360"/>
      </w:pPr>
      <w:rPr>
        <w:rFonts w:ascii="Courier New" w:hAnsi="Courier New" w:cs="Courier New" w:hint="default"/>
      </w:rPr>
    </w:lvl>
    <w:lvl w:ilvl="2" w:tplc="04080005">
      <w:start w:val="1"/>
      <w:numFmt w:val="bullet"/>
      <w:lvlText w:val=""/>
      <w:lvlJc w:val="left"/>
      <w:pPr>
        <w:tabs>
          <w:tab w:val="num" w:pos="2200"/>
        </w:tabs>
        <w:ind w:left="2200" w:hanging="360"/>
      </w:pPr>
      <w:rPr>
        <w:rFonts w:ascii="Wingdings" w:hAnsi="Wingdings" w:hint="default"/>
      </w:rPr>
    </w:lvl>
    <w:lvl w:ilvl="3" w:tplc="04080001">
      <w:start w:val="1"/>
      <w:numFmt w:val="bullet"/>
      <w:lvlText w:val=""/>
      <w:lvlJc w:val="left"/>
      <w:pPr>
        <w:tabs>
          <w:tab w:val="num" w:pos="2920"/>
        </w:tabs>
        <w:ind w:left="2920" w:hanging="360"/>
      </w:pPr>
      <w:rPr>
        <w:rFonts w:ascii="Symbol" w:hAnsi="Symbol" w:hint="default"/>
      </w:rPr>
    </w:lvl>
    <w:lvl w:ilvl="4" w:tplc="04080003">
      <w:start w:val="1"/>
      <w:numFmt w:val="bullet"/>
      <w:lvlText w:val="o"/>
      <w:lvlJc w:val="left"/>
      <w:pPr>
        <w:tabs>
          <w:tab w:val="num" w:pos="3640"/>
        </w:tabs>
        <w:ind w:left="3640" w:hanging="360"/>
      </w:pPr>
      <w:rPr>
        <w:rFonts w:ascii="Courier New" w:hAnsi="Courier New" w:cs="Courier New" w:hint="default"/>
      </w:rPr>
    </w:lvl>
    <w:lvl w:ilvl="5" w:tplc="04080005">
      <w:start w:val="1"/>
      <w:numFmt w:val="bullet"/>
      <w:lvlText w:val=""/>
      <w:lvlJc w:val="left"/>
      <w:pPr>
        <w:tabs>
          <w:tab w:val="num" w:pos="4360"/>
        </w:tabs>
        <w:ind w:left="4360" w:hanging="360"/>
      </w:pPr>
      <w:rPr>
        <w:rFonts w:ascii="Wingdings" w:hAnsi="Wingdings" w:hint="default"/>
      </w:rPr>
    </w:lvl>
    <w:lvl w:ilvl="6" w:tplc="04080001">
      <w:start w:val="1"/>
      <w:numFmt w:val="bullet"/>
      <w:lvlText w:val=""/>
      <w:lvlJc w:val="left"/>
      <w:pPr>
        <w:tabs>
          <w:tab w:val="num" w:pos="5080"/>
        </w:tabs>
        <w:ind w:left="5080" w:hanging="360"/>
      </w:pPr>
      <w:rPr>
        <w:rFonts w:ascii="Symbol" w:hAnsi="Symbol" w:hint="default"/>
      </w:rPr>
    </w:lvl>
    <w:lvl w:ilvl="7" w:tplc="04080003">
      <w:start w:val="1"/>
      <w:numFmt w:val="bullet"/>
      <w:lvlText w:val="o"/>
      <w:lvlJc w:val="left"/>
      <w:pPr>
        <w:tabs>
          <w:tab w:val="num" w:pos="5800"/>
        </w:tabs>
        <w:ind w:left="5800" w:hanging="360"/>
      </w:pPr>
      <w:rPr>
        <w:rFonts w:ascii="Courier New" w:hAnsi="Courier New" w:cs="Courier New" w:hint="default"/>
      </w:rPr>
    </w:lvl>
    <w:lvl w:ilvl="8" w:tplc="04080005">
      <w:start w:val="1"/>
      <w:numFmt w:val="bullet"/>
      <w:lvlText w:val=""/>
      <w:lvlJc w:val="left"/>
      <w:pPr>
        <w:tabs>
          <w:tab w:val="num" w:pos="6520"/>
        </w:tabs>
        <w:ind w:left="6520" w:hanging="360"/>
      </w:pPr>
      <w:rPr>
        <w:rFonts w:ascii="Wingdings" w:hAnsi="Wingdings" w:hint="default"/>
      </w:rPr>
    </w:lvl>
  </w:abstractNum>
  <w:abstractNum w:abstractNumId="13"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25A5D"/>
    <w:multiLevelType w:val="hybridMultilevel"/>
    <w:tmpl w:val="1550FBF4"/>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D7B70"/>
    <w:multiLevelType w:val="hybridMultilevel"/>
    <w:tmpl w:val="6ADA933A"/>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C1BA2"/>
    <w:multiLevelType w:val="hybridMultilevel"/>
    <w:tmpl w:val="7F6E4540"/>
    <w:lvl w:ilvl="0" w:tplc="04080001">
      <w:start w:val="1"/>
      <w:numFmt w:val="bullet"/>
      <w:lvlText w:val=""/>
      <w:lvlJc w:val="left"/>
      <w:pPr>
        <w:ind w:left="1174" w:hanging="360"/>
      </w:pPr>
      <w:rPr>
        <w:rFonts w:ascii="Symbol" w:hAnsi="Symbol" w:hint="default"/>
      </w:rPr>
    </w:lvl>
    <w:lvl w:ilvl="1" w:tplc="A6B6484E">
      <w:numFmt w:val="bullet"/>
      <w:lvlText w:val="•"/>
      <w:lvlJc w:val="left"/>
      <w:pPr>
        <w:ind w:left="2254" w:hanging="720"/>
      </w:pPr>
      <w:rPr>
        <w:rFonts w:ascii="Calibri" w:eastAsia="Times New Roman" w:hAnsi="Calibri" w:cs="Arial"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8" w15:restartNumberingAfterBreak="0">
    <w:nsid w:val="6D5A55E1"/>
    <w:multiLevelType w:val="hybridMultilevel"/>
    <w:tmpl w:val="DDFA69FC"/>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92756"/>
    <w:multiLevelType w:val="hybridMultilevel"/>
    <w:tmpl w:val="76D2EF10"/>
    <w:lvl w:ilvl="0" w:tplc="04080009">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17"/>
  </w:num>
  <w:num w:numId="4">
    <w:abstractNumId w:val="19"/>
  </w:num>
  <w:num w:numId="5">
    <w:abstractNumId w:val="19"/>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9"/>
  </w:num>
  <w:num w:numId="8">
    <w:abstractNumId w:val="0"/>
  </w:num>
  <w:num w:numId="9">
    <w:abstractNumId w:val="7"/>
  </w:num>
  <w:num w:numId="10">
    <w:abstractNumId w:val="5"/>
  </w:num>
  <w:num w:numId="11">
    <w:abstractNumId w:val="13"/>
  </w:num>
  <w:num w:numId="12">
    <w:abstractNumId w:val="2"/>
  </w:num>
  <w:num w:numId="13">
    <w:abstractNumId w:val="16"/>
  </w:num>
  <w:num w:numId="14">
    <w:abstractNumId w:val="21"/>
  </w:num>
  <w:num w:numId="15">
    <w:abstractNumId w:val="1"/>
  </w:num>
  <w:num w:numId="16">
    <w:abstractNumId w:val="18"/>
  </w:num>
  <w:num w:numId="17">
    <w:abstractNumId w:val="6"/>
  </w:num>
  <w:num w:numId="18">
    <w:abstractNumId w:val="4"/>
  </w:num>
  <w:num w:numId="19">
    <w:abstractNumId w:val="15"/>
  </w:num>
  <w:num w:numId="20">
    <w:abstractNumId w:val="12"/>
  </w:num>
  <w:num w:numId="21">
    <w:abstractNumId w:val="14"/>
  </w:num>
  <w:num w:numId="22">
    <w:abstractNumId w:val="4"/>
  </w:num>
  <w:num w:numId="23">
    <w:abstractNumId w:val="11"/>
  </w:num>
  <w:num w:numId="24">
    <w:abstractNumId w:val="10"/>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62F72"/>
    <w:rsid w:val="000D793E"/>
    <w:rsid w:val="000F1E0B"/>
    <w:rsid w:val="00113E20"/>
    <w:rsid w:val="00121626"/>
    <w:rsid w:val="001A03B5"/>
    <w:rsid w:val="001A3F9B"/>
    <w:rsid w:val="001C0721"/>
    <w:rsid w:val="001D341B"/>
    <w:rsid w:val="001E5711"/>
    <w:rsid w:val="002059C8"/>
    <w:rsid w:val="00222DA9"/>
    <w:rsid w:val="002743E3"/>
    <w:rsid w:val="00293873"/>
    <w:rsid w:val="002B0F16"/>
    <w:rsid w:val="002B0F35"/>
    <w:rsid w:val="002E237B"/>
    <w:rsid w:val="002F4BD8"/>
    <w:rsid w:val="00325152"/>
    <w:rsid w:val="003377EE"/>
    <w:rsid w:val="00366987"/>
    <w:rsid w:val="00374593"/>
    <w:rsid w:val="003966D9"/>
    <w:rsid w:val="003B2A0C"/>
    <w:rsid w:val="003B45BC"/>
    <w:rsid w:val="004770A1"/>
    <w:rsid w:val="0051352E"/>
    <w:rsid w:val="00546EEF"/>
    <w:rsid w:val="00570308"/>
    <w:rsid w:val="00620533"/>
    <w:rsid w:val="00632C02"/>
    <w:rsid w:val="006641F8"/>
    <w:rsid w:val="0066632E"/>
    <w:rsid w:val="00681300"/>
    <w:rsid w:val="006879CB"/>
    <w:rsid w:val="006A4FF2"/>
    <w:rsid w:val="006C1EDF"/>
    <w:rsid w:val="006E6B2F"/>
    <w:rsid w:val="007144D5"/>
    <w:rsid w:val="00726337"/>
    <w:rsid w:val="008343A9"/>
    <w:rsid w:val="00852FDD"/>
    <w:rsid w:val="008649BF"/>
    <w:rsid w:val="008A3445"/>
    <w:rsid w:val="00907017"/>
    <w:rsid w:val="009261BF"/>
    <w:rsid w:val="00957273"/>
    <w:rsid w:val="00974C95"/>
    <w:rsid w:val="009976DD"/>
    <w:rsid w:val="009F257B"/>
    <w:rsid w:val="00A04FA2"/>
    <w:rsid w:val="00A33000"/>
    <w:rsid w:val="00A45BD0"/>
    <w:rsid w:val="00A92C23"/>
    <w:rsid w:val="00AE3BD0"/>
    <w:rsid w:val="00B25922"/>
    <w:rsid w:val="00B425BF"/>
    <w:rsid w:val="00B66EDB"/>
    <w:rsid w:val="00B82D70"/>
    <w:rsid w:val="00BA3474"/>
    <w:rsid w:val="00BB5C14"/>
    <w:rsid w:val="00CE6E75"/>
    <w:rsid w:val="00D105E6"/>
    <w:rsid w:val="00DC17E6"/>
    <w:rsid w:val="00DC6A5A"/>
    <w:rsid w:val="00DE541C"/>
    <w:rsid w:val="00E32790"/>
    <w:rsid w:val="00E923DE"/>
    <w:rsid w:val="00EA1E0D"/>
    <w:rsid w:val="00F1731B"/>
    <w:rsid w:val="00F840AB"/>
    <w:rsid w:val="00FC34D4"/>
    <w:rsid w:val="00FD45F5"/>
    <w:rsid w:val="00FE048E"/>
    <w:rsid w:val="00FE7E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25602-B922-4E47-8D6C-4B2B1DD2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8A3445"/>
    <w:rPr>
      <w:color w:val="0000FF" w:themeColor="hyperlink"/>
      <w:u w:val="single"/>
    </w:rPr>
  </w:style>
  <w:style w:type="character" w:styleId="FollowedHyperlink">
    <w:name w:val="FollowedHyperlink"/>
    <w:basedOn w:val="DefaultParagraphFont"/>
    <w:uiPriority w:val="99"/>
    <w:semiHidden/>
    <w:unhideWhenUsed/>
    <w:rsid w:val="008A3445"/>
    <w:rPr>
      <w:color w:val="800080" w:themeColor="followedHyperlink"/>
      <w:u w:val="single"/>
    </w:rPr>
  </w:style>
  <w:style w:type="paragraph" w:styleId="NormalWeb">
    <w:name w:val="Normal (Web)"/>
    <w:basedOn w:val="Normal"/>
    <w:unhideWhenUsed/>
    <w:rsid w:val="00546EE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425464717">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34759656">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45180065">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eclass.aua.gr/courses/ETDA106/"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7456</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2026-01-13T13:36:00Z</dcterms:created>
  <dcterms:modified xsi:type="dcterms:W3CDTF">2026-01-13T13:36:00Z</dcterms:modified>
</cp:coreProperties>
</file>