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C0" w:rsidRPr="00C20232" w:rsidRDefault="006151C0" w:rsidP="003809BC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4"/>
          <w:szCs w:val="24"/>
        </w:rPr>
        <w:t>COURSE LAYOUT</w:t>
      </w:r>
    </w:p>
    <w:p w:rsidR="006151C0" w:rsidRPr="00050B81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1130"/>
        <w:gridCol w:w="1280"/>
        <w:gridCol w:w="1207"/>
        <w:gridCol w:w="343"/>
        <w:gridCol w:w="1219"/>
      </w:tblGrid>
      <w:tr w:rsidR="006151C0" w:rsidRPr="002A2C0D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:rsidR="006151C0" w:rsidRPr="00050B81" w:rsidRDefault="00AA2391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APPLIED ECONOMICS AND SOCIAL SCIENCES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:rsidR="006151C0" w:rsidRPr="00AA4608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AGRICULTURAL ECONOMICS &amp; RURAL DEVELOPMENT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31" w:type="dxa"/>
            <w:gridSpan w:val="5"/>
          </w:tcPr>
          <w:p w:rsidR="006151C0" w:rsidRPr="00050B81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i/>
                <w:sz w:val="18"/>
                <w:szCs w:val="18"/>
              </w:rPr>
              <w:t>Undergraduate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1A3F9B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:rsidR="006151C0" w:rsidRPr="008D17B8" w:rsidRDefault="000A6613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 </w:t>
            </w:r>
            <w:r w:rsidR="008D17B8">
              <w:rPr>
                <w:rFonts w:ascii="Calibri" w:eastAsia="Times New Roman" w:hAnsi="Calibri" w:cs="Arial"/>
                <w:b/>
                <w:sz w:val="20"/>
                <w:szCs w:val="20"/>
              </w:rPr>
              <w:t>3475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:rsidR="006151C0" w:rsidRPr="006151C0" w:rsidRDefault="006151C0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1591" w:type="dxa"/>
            <w:gridSpan w:val="2"/>
          </w:tcPr>
          <w:p w:rsidR="008D17B8" w:rsidRPr="008D17B8" w:rsidRDefault="008D17B8" w:rsidP="002A2C0D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1</w:t>
            </w:r>
            <w:r w:rsidRPr="008D17B8">
              <w:rPr>
                <w:rFonts w:ascii="Calibri" w:eastAsia="Times New Roman" w:hAnsi="Calibri" w:cs="Arial"/>
                <w:color w:val="002060"/>
                <w:sz w:val="20"/>
                <w:szCs w:val="20"/>
                <w:vertAlign w:val="superscript"/>
              </w:rPr>
              <w:t>st</w:t>
            </w:r>
          </w:p>
        </w:tc>
      </w:tr>
      <w:tr w:rsidR="006151C0" w:rsidRPr="003B45BC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:rsidR="006151C0" w:rsidRPr="00AE206F" w:rsidRDefault="00AE206F" w:rsidP="001A3F9B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AE206F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INTRODUCTION TO ECONOMIC THEORY</w:t>
            </w:r>
          </w:p>
        </w:tc>
      </w:tr>
      <w:tr w:rsidR="006151C0" w:rsidRPr="00050B81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6151C0" w:rsidRPr="00050B81" w:rsidTr="00BF6D32">
        <w:trPr>
          <w:trHeight w:val="194"/>
        </w:trPr>
        <w:tc>
          <w:tcPr>
            <w:tcW w:w="5637" w:type="dxa"/>
            <w:gridSpan w:val="3"/>
          </w:tcPr>
          <w:p w:rsidR="006151C0" w:rsidRPr="00726337" w:rsidRDefault="008D17B8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 w:rsidRPr="008D17B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Lectures and Practice Exercises</w:t>
            </w:r>
          </w:p>
        </w:tc>
        <w:tc>
          <w:tcPr>
            <w:tcW w:w="1559" w:type="dxa"/>
            <w:gridSpan w:val="2"/>
          </w:tcPr>
          <w:p w:rsidR="006151C0" w:rsidRPr="00726337" w:rsidRDefault="008D17B8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6</w:t>
            </w:r>
          </w:p>
        </w:tc>
        <w:tc>
          <w:tcPr>
            <w:tcW w:w="1240" w:type="dxa"/>
          </w:tcPr>
          <w:p w:rsidR="006151C0" w:rsidRPr="00F840AB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050B81" w:rsidRPr="00050B81" w:rsidTr="00BF6D32">
        <w:trPr>
          <w:trHeight w:val="194"/>
        </w:trPr>
        <w:tc>
          <w:tcPr>
            <w:tcW w:w="5637" w:type="dxa"/>
            <w:gridSpan w:val="3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050B81" w:rsidRPr="00050B81" w:rsidTr="00BF6D32">
        <w:trPr>
          <w:trHeight w:val="194"/>
        </w:trPr>
        <w:tc>
          <w:tcPr>
            <w:tcW w:w="5637" w:type="dxa"/>
            <w:gridSpan w:val="3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6151C0" w:rsidRPr="00050B81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6151C0" w:rsidRPr="006151C0" w:rsidRDefault="008D17B8" w:rsidP="006C74B6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8D17B8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Background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6151C0" w:rsidRPr="006151C0" w:rsidRDefault="006151C0" w:rsidP="006151C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:rsidR="006151C0" w:rsidRPr="00515A4B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Greek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F77300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IS THE COURSE OFFERED for 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5231" w:type="dxa"/>
            <w:gridSpan w:val="5"/>
          </w:tcPr>
          <w:p w:rsidR="006151C0" w:rsidRPr="00515A4B" w:rsidRDefault="006C77DD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Yes (in English)</w:t>
            </w:r>
          </w:p>
        </w:tc>
      </w:tr>
      <w:tr w:rsidR="006C74B6" w:rsidRPr="002A2C0D" w:rsidTr="001A3F9B">
        <w:tc>
          <w:tcPr>
            <w:tcW w:w="3205" w:type="dxa"/>
            <w:shd w:val="clear" w:color="auto" w:fill="DDD9C3" w:themeFill="background2" w:themeFillShade="E6"/>
          </w:tcPr>
          <w:p w:rsidR="006C74B6" w:rsidRPr="00050B81" w:rsidRDefault="006C74B6" w:rsidP="006C74B6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:rsidR="006C74B6" w:rsidRPr="00050B81" w:rsidRDefault="008D17B8" w:rsidP="006C74B6">
            <w:pPr>
              <w:rPr>
                <w:rFonts w:ascii="Calibri" w:hAnsi="Calibri" w:cs="Arial"/>
                <w:color w:val="002060"/>
                <w:sz w:val="20"/>
                <w:szCs w:val="20"/>
                <w:lang w:val="en-GB"/>
              </w:rPr>
            </w:pPr>
            <w:r w:rsidRPr="008D17B8">
              <w:rPr>
                <w:rFonts w:ascii="Calibri" w:hAnsi="Calibri" w:cs="Arial"/>
                <w:color w:val="002060"/>
                <w:sz w:val="20"/>
                <w:szCs w:val="20"/>
                <w:lang w:val="en-GB"/>
              </w:rPr>
              <w:t>https://mediasrv.aua.gr/eclass/courses/AOA179/</w:t>
            </w:r>
          </w:p>
        </w:tc>
      </w:tr>
    </w:tbl>
    <w:p w:rsidR="006151C0" w:rsidRPr="006151C0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 w:rsidRPr="006151C0"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6151C0" w:rsidRPr="00050B81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Learning Outcomes</w:t>
            </w:r>
          </w:p>
        </w:tc>
      </w:tr>
      <w:tr w:rsidR="001A3F9B" w:rsidRPr="006C77DD" w:rsidTr="00050B81">
        <w:tc>
          <w:tcPr>
            <w:tcW w:w="8472" w:type="dxa"/>
            <w:gridSpan w:val="2"/>
          </w:tcPr>
          <w:p w:rsidR="008D17B8" w:rsidRPr="008D17B8" w:rsidRDefault="008D17B8" w:rsidP="008D17B8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Calibri" w:eastAsia="Calibri" w:hAnsi="Calibri" w:cs="Arial"/>
                <w:color w:val="002060"/>
                <w:sz w:val="20"/>
                <w:szCs w:val="20"/>
              </w:rPr>
            </w:pPr>
            <w:r w:rsidRPr="008D17B8">
              <w:rPr>
                <w:rFonts w:ascii="Calibri" w:eastAsia="Calibri" w:hAnsi="Calibri" w:cs="Arial"/>
                <w:color w:val="002060"/>
                <w:sz w:val="20"/>
                <w:szCs w:val="20"/>
              </w:rPr>
              <w:t>The course is the first/introductory course of the Department of Agricultural Economics and Rural Development in economic theory. The course aims to familiarize students with the basic concepts of economic theory, through a "pluralistic" approach. This means that in all the thematic units of the course are exposed both the prevailing economic theory (the Neoclassical Theory) and alternative theoretical approaches.</w:t>
            </w:r>
          </w:p>
          <w:p w:rsidR="008D17B8" w:rsidRPr="008D17B8" w:rsidRDefault="008D17B8" w:rsidP="008D17B8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Calibri" w:eastAsia="Calibri" w:hAnsi="Calibri" w:cs="Arial"/>
                <w:color w:val="002060"/>
                <w:sz w:val="20"/>
                <w:szCs w:val="20"/>
              </w:rPr>
            </w:pPr>
          </w:p>
          <w:p w:rsidR="008D17B8" w:rsidRDefault="008D17B8" w:rsidP="008D17B8">
            <w:pPr>
              <w:tabs>
                <w:tab w:val="left" w:pos="280"/>
              </w:tabs>
              <w:spacing w:after="0" w:line="240" w:lineRule="auto"/>
              <w:ind w:left="142"/>
              <w:jc w:val="both"/>
              <w:rPr>
                <w:rFonts w:ascii="Calibri" w:eastAsia="Calibri" w:hAnsi="Calibri" w:cs="Arial"/>
                <w:color w:val="002060"/>
                <w:sz w:val="20"/>
                <w:szCs w:val="20"/>
              </w:rPr>
            </w:pPr>
            <w:r w:rsidRPr="008D17B8">
              <w:rPr>
                <w:rFonts w:ascii="Calibri" w:eastAsia="Calibri" w:hAnsi="Calibri" w:cs="Arial"/>
                <w:color w:val="002060"/>
                <w:sz w:val="20"/>
                <w:szCs w:val="20"/>
              </w:rPr>
              <w:t>Upon successful completion of the course the student will be able to:</w:t>
            </w:r>
          </w:p>
          <w:p w:rsidR="008D17B8" w:rsidRDefault="008D17B8" w:rsidP="008D17B8">
            <w:pPr>
              <w:tabs>
                <w:tab w:val="left" w:pos="280"/>
              </w:tabs>
              <w:spacing w:after="0" w:line="240" w:lineRule="auto"/>
              <w:ind w:left="142"/>
              <w:jc w:val="both"/>
              <w:rPr>
                <w:rFonts w:ascii="Calibri" w:eastAsia="Calibri" w:hAnsi="Calibri" w:cs="Arial"/>
                <w:color w:val="002060"/>
                <w:sz w:val="20"/>
                <w:szCs w:val="20"/>
              </w:rPr>
            </w:pPr>
            <w:r w:rsidRPr="008D17B8">
              <w:rPr>
                <w:rFonts w:ascii="Calibri" w:eastAsia="Calibri" w:hAnsi="Calibri" w:cs="Arial"/>
                <w:color w:val="002060"/>
                <w:sz w:val="20"/>
                <w:szCs w:val="20"/>
              </w:rPr>
              <w:t xml:space="preserve">• Understand the basic concepts of economics and the operation of the </w:t>
            </w:r>
            <w:r>
              <w:rPr>
                <w:rFonts w:ascii="Calibri" w:eastAsia="Calibri" w:hAnsi="Calibri" w:cs="Arial"/>
                <w:color w:val="002060"/>
                <w:sz w:val="20"/>
                <w:szCs w:val="20"/>
              </w:rPr>
              <w:t xml:space="preserve">economic </w:t>
            </w:r>
            <w:r w:rsidRPr="008D17B8">
              <w:rPr>
                <w:rFonts w:ascii="Calibri" w:eastAsia="Calibri" w:hAnsi="Calibri" w:cs="Arial"/>
                <w:color w:val="002060"/>
                <w:sz w:val="20"/>
                <w:szCs w:val="20"/>
              </w:rPr>
              <w:t>system, while acquiring a critical ability.</w:t>
            </w:r>
          </w:p>
          <w:p w:rsidR="008D17B8" w:rsidRDefault="008D17B8" w:rsidP="008D17B8">
            <w:pPr>
              <w:tabs>
                <w:tab w:val="left" w:pos="280"/>
              </w:tabs>
              <w:spacing w:after="0" w:line="240" w:lineRule="auto"/>
              <w:ind w:left="142"/>
              <w:jc w:val="both"/>
              <w:rPr>
                <w:rFonts w:ascii="Calibri" w:eastAsia="Calibri" w:hAnsi="Calibri" w:cs="Arial"/>
                <w:color w:val="002060"/>
                <w:sz w:val="20"/>
                <w:szCs w:val="20"/>
              </w:rPr>
            </w:pPr>
            <w:r w:rsidRPr="008D17B8">
              <w:rPr>
                <w:rFonts w:ascii="Calibri" w:eastAsia="Calibri" w:hAnsi="Calibri" w:cs="Arial"/>
                <w:color w:val="002060"/>
                <w:sz w:val="20"/>
                <w:szCs w:val="20"/>
              </w:rPr>
              <w:t>• Get in touch with different approaches, methods, techniques and tools of economic theory, so that later they can delve into more specialized courses.</w:t>
            </w:r>
          </w:p>
          <w:p w:rsidR="008D17B8" w:rsidRPr="008D17B8" w:rsidRDefault="008D17B8" w:rsidP="008D17B8">
            <w:pPr>
              <w:tabs>
                <w:tab w:val="left" w:pos="280"/>
              </w:tabs>
              <w:spacing w:after="0" w:line="240" w:lineRule="auto"/>
              <w:ind w:left="142"/>
              <w:jc w:val="both"/>
              <w:rPr>
                <w:rFonts w:ascii="Calibri" w:eastAsia="Calibri" w:hAnsi="Calibri" w:cs="Arial"/>
                <w:color w:val="002060"/>
                <w:sz w:val="20"/>
                <w:szCs w:val="20"/>
              </w:rPr>
            </w:pPr>
            <w:r w:rsidRPr="008D17B8">
              <w:rPr>
                <w:rFonts w:ascii="Calibri" w:eastAsia="Calibri" w:hAnsi="Calibri" w:cs="Arial"/>
                <w:color w:val="002060"/>
                <w:sz w:val="20"/>
                <w:szCs w:val="20"/>
              </w:rPr>
              <w:t>• Create a suitable "knowledge base" for many of the next courses of the Department, as this course is the basic requirement of many others.</w:t>
            </w:r>
          </w:p>
          <w:p w:rsidR="000A6613" w:rsidRPr="000A6613" w:rsidRDefault="000A6613" w:rsidP="000A6613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</w:p>
        </w:tc>
      </w:tr>
      <w:tr w:rsidR="00050B81" w:rsidRPr="00050B81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:rsidR="00050B81" w:rsidRPr="00275CDB" w:rsidRDefault="00275CDB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General competences</w:t>
            </w:r>
          </w:p>
        </w:tc>
      </w:tr>
      <w:tr w:rsidR="00050B81" w:rsidRPr="002A2C0D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:rsidR="008D17B8" w:rsidRPr="008D17B8" w:rsidRDefault="008D17B8" w:rsidP="008D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color w:val="002060"/>
                <w:sz w:val="20"/>
                <w:szCs w:val="20"/>
              </w:rPr>
            </w:pPr>
            <w:r w:rsidRPr="008D17B8">
              <w:rPr>
                <w:rFonts w:ascii="Calibri" w:eastAsia="Calibri" w:hAnsi="Calibri" w:cs="Arial"/>
                <w:color w:val="002060"/>
                <w:sz w:val="20"/>
                <w:szCs w:val="20"/>
              </w:rPr>
              <w:t>•</w:t>
            </w:r>
            <w:r w:rsidRPr="008D17B8">
              <w:rPr>
                <w:rFonts w:ascii="Calibri" w:eastAsia="Calibri" w:hAnsi="Calibri" w:cs="Arial"/>
                <w:color w:val="002060"/>
                <w:sz w:val="20"/>
                <w:szCs w:val="20"/>
              </w:rPr>
              <w:tab/>
              <w:t>Autonomous work</w:t>
            </w:r>
          </w:p>
          <w:p w:rsidR="008D17B8" w:rsidRPr="008D17B8" w:rsidRDefault="008D17B8" w:rsidP="008D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color w:val="002060"/>
                <w:sz w:val="20"/>
                <w:szCs w:val="20"/>
              </w:rPr>
            </w:pPr>
            <w:r w:rsidRPr="008D17B8">
              <w:rPr>
                <w:rFonts w:ascii="Calibri" w:eastAsia="Calibri" w:hAnsi="Calibri" w:cs="Arial"/>
                <w:color w:val="002060"/>
                <w:sz w:val="20"/>
                <w:szCs w:val="20"/>
              </w:rPr>
              <w:t>•</w:t>
            </w:r>
            <w:r w:rsidRPr="008D17B8">
              <w:rPr>
                <w:rFonts w:ascii="Calibri" w:eastAsia="Calibri" w:hAnsi="Calibri" w:cs="Arial"/>
                <w:color w:val="002060"/>
                <w:sz w:val="20"/>
                <w:szCs w:val="20"/>
              </w:rPr>
              <w:tab/>
              <w:t>Teamwork</w:t>
            </w:r>
          </w:p>
          <w:p w:rsidR="008D17B8" w:rsidRPr="008D17B8" w:rsidRDefault="008D17B8" w:rsidP="008D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color w:val="002060"/>
                <w:sz w:val="20"/>
                <w:szCs w:val="20"/>
              </w:rPr>
            </w:pPr>
            <w:r w:rsidRPr="008D17B8">
              <w:rPr>
                <w:rFonts w:ascii="Calibri" w:eastAsia="Calibri" w:hAnsi="Calibri" w:cs="Arial"/>
                <w:color w:val="002060"/>
                <w:sz w:val="20"/>
                <w:szCs w:val="20"/>
              </w:rPr>
              <w:t>•</w:t>
            </w:r>
            <w:r w:rsidRPr="008D17B8">
              <w:rPr>
                <w:rFonts w:ascii="Calibri" w:eastAsia="Calibri" w:hAnsi="Calibri" w:cs="Arial"/>
                <w:color w:val="002060"/>
                <w:sz w:val="20"/>
                <w:szCs w:val="20"/>
              </w:rPr>
              <w:tab/>
              <w:t>Critique and self-critique</w:t>
            </w:r>
          </w:p>
          <w:p w:rsidR="000A6613" w:rsidRPr="008D17B8" w:rsidRDefault="008D17B8" w:rsidP="000A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color w:val="002060"/>
                <w:sz w:val="20"/>
                <w:szCs w:val="20"/>
              </w:rPr>
            </w:pPr>
            <w:r w:rsidRPr="008D17B8">
              <w:rPr>
                <w:rFonts w:ascii="Calibri" w:eastAsia="Calibri" w:hAnsi="Calibri" w:cs="Arial"/>
                <w:color w:val="002060"/>
                <w:sz w:val="20"/>
                <w:szCs w:val="20"/>
              </w:rPr>
              <w:t>•</w:t>
            </w:r>
            <w:r w:rsidRPr="008D17B8">
              <w:rPr>
                <w:rFonts w:ascii="Calibri" w:eastAsia="Calibri" w:hAnsi="Calibri" w:cs="Arial"/>
                <w:color w:val="002060"/>
                <w:sz w:val="20"/>
                <w:szCs w:val="20"/>
              </w:rPr>
              <w:tab/>
              <w:t>Advance of free thinking and reasoning</w:t>
            </w:r>
          </w:p>
        </w:tc>
      </w:tr>
    </w:tbl>
    <w:p w:rsidR="00050B81" w:rsidRPr="00050B81" w:rsidRDefault="00275CD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6C74B6" w:rsidTr="00BF6D32">
        <w:tc>
          <w:tcPr>
            <w:tcW w:w="8472" w:type="dxa"/>
          </w:tcPr>
          <w:p w:rsidR="008D17B8" w:rsidRPr="008D17B8" w:rsidRDefault="008D17B8" w:rsidP="008D17B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1. The emergence of economics in conjunction with the emergence of market societies. Classical Political Economy and Neoclassical Theory.</w:t>
            </w:r>
          </w:p>
          <w:p w:rsidR="008D17B8" w:rsidRPr="008D17B8" w:rsidRDefault="008D17B8" w:rsidP="008D17B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2. The basic hypotheses of economics and their critique. </w:t>
            </w:r>
            <w:r w:rsidR="009312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Scarc</w:t>
            </w: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ity, </w:t>
            </w:r>
            <w:r w:rsidR="009312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trade-offs</w:t>
            </w: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, </w:t>
            </w:r>
            <w:r w:rsidR="009312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production possibility frontier</w:t>
            </w: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, efficiency, opportunity cost, rational choice, "positive" or "</w:t>
            </w:r>
            <w:r w:rsidR="009312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normative</w:t>
            </w: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" science? the economic methodology.</w:t>
            </w:r>
          </w:p>
          <w:p w:rsidR="008D17B8" w:rsidRPr="008D17B8" w:rsidRDefault="008D17B8" w:rsidP="008D17B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3. The operation of the </w:t>
            </w:r>
            <w:r w:rsidR="009312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economic</w:t>
            </w: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 system. Agricultural holdings, Businesses and households in Greece today.</w:t>
            </w:r>
          </w:p>
          <w:p w:rsidR="008D17B8" w:rsidRPr="008D17B8" w:rsidRDefault="008D17B8" w:rsidP="008D17B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4. Demand and supply. The "perfect" competition.</w:t>
            </w:r>
          </w:p>
          <w:p w:rsidR="008D17B8" w:rsidRPr="008D17B8" w:rsidRDefault="008D17B8" w:rsidP="008D17B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lastRenderedPageBreak/>
              <w:t>5. Elasticities.</w:t>
            </w:r>
          </w:p>
          <w:p w:rsidR="008D17B8" w:rsidRPr="008D17B8" w:rsidRDefault="008D17B8" w:rsidP="008D17B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6. Consumer behavior, demand.</w:t>
            </w:r>
          </w:p>
          <w:p w:rsidR="008D17B8" w:rsidRPr="008D17B8" w:rsidRDefault="00931216" w:rsidP="008D17B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7. Production costs and</w:t>
            </w:r>
            <w:r w:rsidR="008D17B8"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 theory</w:t>
            </w: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 of the firm</w:t>
            </w:r>
            <w:r w:rsidR="008D17B8"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.</w:t>
            </w:r>
          </w:p>
          <w:p w:rsidR="008D17B8" w:rsidRPr="008D17B8" w:rsidRDefault="008D17B8" w:rsidP="008D17B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8. Competition and concentratio</w:t>
            </w:r>
            <w:r w:rsidR="009312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n. Monopoly, oligopoly, monopolistic</w:t>
            </w: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 competition.</w:t>
            </w:r>
          </w:p>
          <w:p w:rsidR="008D17B8" w:rsidRDefault="008D17B8" w:rsidP="008D17B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9. </w:t>
            </w:r>
            <w:r w:rsidR="00931216" w:rsidRPr="009312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The structure and operation of real agri-food markets</w:t>
            </w: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. Self-regulation in agricultural markets?</w:t>
            </w:r>
          </w:p>
          <w:p w:rsidR="00931216" w:rsidRPr="008D17B8" w:rsidRDefault="00931216" w:rsidP="008D17B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</w:p>
          <w:p w:rsidR="000A6613" w:rsidRDefault="008D17B8" w:rsidP="000A6613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The course is also enriched with a critical presentation and discussion of examples from agriculture, rural areas, </w:t>
            </w:r>
            <w:r w:rsidR="009312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the agri-</w:t>
            </w: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food </w:t>
            </w:r>
            <w:r w:rsidR="00931216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system </w:t>
            </w:r>
            <w:r w:rsidRPr="008D17B8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and the environment, as they emerge from everyday experience and contemporary international literature.</w:t>
            </w:r>
          </w:p>
          <w:p w:rsidR="000A6613" w:rsidRPr="006725FB" w:rsidRDefault="000A6613" w:rsidP="000A6613">
            <w:pPr>
              <w:spacing w:after="0" w:line="240" w:lineRule="auto"/>
              <w:jc w:val="both"/>
              <w:rPr>
                <w:iCs/>
                <w:color w:val="002060"/>
                <w:lang w:val="en-US"/>
              </w:rPr>
            </w:pPr>
          </w:p>
        </w:tc>
      </w:tr>
    </w:tbl>
    <w:p w:rsidR="006725FB" w:rsidRPr="006725FB" w:rsidRDefault="006725FB" w:rsidP="006725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 w:rsidRPr="006725FB">
        <w:rPr>
          <w:rFonts w:ascii="Calibri" w:eastAsia="Times New Roman" w:hAnsi="Calibri" w:cs="Arial"/>
          <w:b/>
          <w:color w:val="000000"/>
        </w:rPr>
        <w:lastRenderedPageBreak/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6725FB" w:rsidRPr="00050B81" w:rsidTr="00B25922">
        <w:tc>
          <w:tcPr>
            <w:tcW w:w="3306" w:type="dxa"/>
            <w:shd w:val="clear" w:color="auto" w:fill="DDD9C3" w:themeFill="background2" w:themeFillShade="E6"/>
          </w:tcPr>
          <w:p w:rsidR="006725FB" w:rsidRPr="00050B81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METHOD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:rsidR="006725FB" w:rsidRPr="00B25922" w:rsidRDefault="006725FB" w:rsidP="000931C2">
            <w:pPr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In class</w:t>
            </w:r>
            <w:r w:rsidRPr="00B25922">
              <w:rPr>
                <w:iCs/>
                <w:color w:val="002060"/>
              </w:rPr>
              <w:t xml:space="preserve"> </w:t>
            </w:r>
          </w:p>
        </w:tc>
      </w:tr>
      <w:tr w:rsidR="006725FB" w:rsidRPr="002A2C0D" w:rsidTr="00B25922">
        <w:tc>
          <w:tcPr>
            <w:tcW w:w="3306" w:type="dxa"/>
            <w:shd w:val="clear" w:color="auto" w:fill="DDD9C3" w:themeFill="background2" w:themeFillShade="E6"/>
          </w:tcPr>
          <w:p w:rsidR="006725FB" w:rsidRPr="00F77300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6725FB" w:rsidRPr="00931216" w:rsidRDefault="006725FB" w:rsidP="006725F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iCs/>
                <w:color w:val="002060"/>
                <w:lang w:val="en-US"/>
              </w:rPr>
            </w:pPr>
            <w:r w:rsidRPr="006725FB">
              <w:rPr>
                <w:iCs/>
                <w:color w:val="002060"/>
                <w:lang w:val="en-US"/>
              </w:rPr>
              <w:t>e</w:t>
            </w:r>
            <w:r w:rsidRPr="00931216">
              <w:rPr>
                <w:iCs/>
                <w:color w:val="002060"/>
                <w:lang w:val="en-US"/>
              </w:rPr>
              <w:t>-</w:t>
            </w:r>
            <w:r w:rsidRPr="006725FB">
              <w:rPr>
                <w:iCs/>
                <w:color w:val="002060"/>
                <w:lang w:val="en-US"/>
              </w:rPr>
              <w:t>class platform</w:t>
            </w:r>
          </w:p>
          <w:p w:rsidR="00931216" w:rsidRPr="00931216" w:rsidRDefault="00931216" w:rsidP="000C4C3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>Supporting material on e-class platform:</w:t>
            </w:r>
          </w:p>
          <w:p w:rsidR="006725FB" w:rsidRPr="00931216" w:rsidRDefault="006725FB" w:rsidP="00931216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iCs/>
                <w:color w:val="002060"/>
                <w:lang w:val="en-US"/>
              </w:rPr>
            </w:pPr>
            <w:r w:rsidRPr="006725FB">
              <w:rPr>
                <w:iCs/>
                <w:color w:val="002060"/>
                <w:lang w:val="en-US"/>
              </w:rPr>
              <w:t>Power</w:t>
            </w:r>
            <w:r w:rsidRPr="00931216">
              <w:rPr>
                <w:iCs/>
                <w:color w:val="002060"/>
                <w:lang w:val="en-US"/>
              </w:rPr>
              <w:t>-</w:t>
            </w:r>
            <w:r w:rsidRPr="006725FB">
              <w:rPr>
                <w:iCs/>
                <w:color w:val="002060"/>
                <w:lang w:val="en-US"/>
              </w:rPr>
              <w:t>Point</w:t>
            </w:r>
            <w:r w:rsidRPr="00931216">
              <w:rPr>
                <w:iCs/>
                <w:color w:val="002060"/>
                <w:lang w:val="en-US"/>
              </w:rPr>
              <w:t xml:space="preserve"> </w:t>
            </w:r>
            <w:r w:rsidRPr="006725FB">
              <w:rPr>
                <w:iCs/>
                <w:color w:val="002060"/>
                <w:lang w:val="en-US"/>
              </w:rPr>
              <w:t>slides</w:t>
            </w:r>
            <w:r w:rsidRPr="00931216">
              <w:rPr>
                <w:iCs/>
                <w:color w:val="002060"/>
                <w:lang w:val="en-US"/>
              </w:rPr>
              <w:t xml:space="preserve"> </w:t>
            </w:r>
            <w:r w:rsidR="00931216" w:rsidRPr="00931216">
              <w:rPr>
                <w:iCs/>
                <w:color w:val="002060"/>
                <w:lang w:val="en-US"/>
              </w:rPr>
              <w:t>for all course lectures.</w:t>
            </w:r>
            <w:r w:rsidR="00931216">
              <w:rPr>
                <w:iCs/>
                <w:color w:val="002060"/>
                <w:lang w:val="en-US"/>
              </w:rPr>
              <w:t xml:space="preserve"> Most of them created by the instructor.</w:t>
            </w:r>
          </w:p>
          <w:p w:rsidR="00931216" w:rsidRPr="00931216" w:rsidRDefault="00931216" w:rsidP="00931216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iCs/>
                <w:color w:val="002060"/>
                <w:lang w:val="en-US"/>
              </w:rPr>
            </w:pPr>
            <w:r w:rsidRPr="00931216">
              <w:rPr>
                <w:iCs/>
                <w:color w:val="002060"/>
                <w:lang w:val="en-US"/>
              </w:rPr>
              <w:t xml:space="preserve">Instructor notes, which complement the content of the </w:t>
            </w:r>
            <w:r>
              <w:rPr>
                <w:iCs/>
                <w:color w:val="002060"/>
                <w:lang w:val="en-US"/>
              </w:rPr>
              <w:t>text</w:t>
            </w:r>
            <w:r w:rsidRPr="00931216">
              <w:rPr>
                <w:iCs/>
                <w:color w:val="002060"/>
                <w:lang w:val="en-US"/>
              </w:rPr>
              <w:t>books</w:t>
            </w:r>
            <w:r>
              <w:rPr>
                <w:iCs/>
                <w:color w:val="002060"/>
                <w:lang w:val="en-US"/>
              </w:rPr>
              <w:t>.</w:t>
            </w:r>
          </w:p>
          <w:p w:rsidR="000C4C3C" w:rsidRPr="00931216" w:rsidRDefault="000C4C3C" w:rsidP="000C4C3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>Communication with students using e</w:t>
            </w:r>
            <w:r w:rsidR="00931216">
              <w:rPr>
                <w:iCs/>
                <w:color w:val="002060"/>
                <w:lang w:val="en-US"/>
              </w:rPr>
              <w:t>-</w:t>
            </w:r>
            <w:r>
              <w:rPr>
                <w:iCs/>
                <w:color w:val="002060"/>
                <w:lang w:val="en-US"/>
              </w:rPr>
              <w:t>class and email</w:t>
            </w:r>
          </w:p>
          <w:p w:rsidR="00931216" w:rsidRPr="00931216" w:rsidRDefault="00931216" w:rsidP="00931216">
            <w:pPr>
              <w:spacing w:after="0" w:line="240" w:lineRule="auto"/>
              <w:contextualSpacing/>
              <w:rPr>
                <w:iCs/>
                <w:color w:val="002060"/>
                <w:lang w:val="en-US"/>
              </w:rPr>
            </w:pPr>
          </w:p>
        </w:tc>
      </w:tr>
      <w:tr w:rsidR="006725FB" w:rsidRPr="00050B81" w:rsidTr="00B25922">
        <w:tc>
          <w:tcPr>
            <w:tcW w:w="3306" w:type="dxa"/>
            <w:shd w:val="clear" w:color="auto" w:fill="DDD9C3" w:themeFill="background2" w:themeFillShade="E6"/>
          </w:tcPr>
          <w:p w:rsidR="006725FB" w:rsidRPr="003D76B9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3D76B9"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:rsidR="006725FB" w:rsidRPr="00050B81" w:rsidRDefault="006725FB" w:rsidP="000931C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6725FB" w:rsidRPr="00050B81" w:rsidTr="00B25922">
              <w:tc>
                <w:tcPr>
                  <w:tcW w:w="2467" w:type="dxa"/>
                  <w:shd w:val="clear" w:color="auto" w:fill="DDD9C3" w:themeFill="background2" w:themeFillShade="E6"/>
                  <w:vAlign w:val="center"/>
                </w:tcPr>
                <w:p w:rsidR="006725FB" w:rsidRPr="00C20232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r>
                    <w:rPr>
                      <w:rFonts w:ascii="Calibri" w:hAnsi="Calibri" w:cs="Arial"/>
                      <w:i/>
                      <w:lang w:val="el-GR"/>
                    </w:rPr>
                    <w:t>Activity</w:t>
                  </w:r>
                </w:p>
              </w:tc>
              <w:tc>
                <w:tcPr>
                  <w:tcW w:w="2468" w:type="dxa"/>
                  <w:shd w:val="clear" w:color="auto" w:fill="DDD9C3" w:themeFill="background2" w:themeFillShade="E6"/>
                  <w:vAlign w:val="center"/>
                </w:tcPr>
                <w:p w:rsidR="006725FB" w:rsidRPr="00C20232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r>
                    <w:rPr>
                      <w:rFonts w:ascii="Calibri" w:hAnsi="Calibri" w:cs="Arial"/>
                      <w:i/>
                      <w:lang w:val="el-GR"/>
                    </w:rPr>
                    <w:t>Work Load</w:t>
                  </w:r>
                </w:p>
              </w:tc>
            </w:tr>
            <w:tr w:rsidR="006725FB" w:rsidRPr="00050B81" w:rsidTr="00BF6D32">
              <w:tc>
                <w:tcPr>
                  <w:tcW w:w="2467" w:type="dxa"/>
                </w:tcPr>
                <w:p w:rsidR="006725FB" w:rsidRPr="003D76B9" w:rsidRDefault="006725FB" w:rsidP="000931C2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Lectures</w:t>
                  </w:r>
                </w:p>
              </w:tc>
              <w:tc>
                <w:tcPr>
                  <w:tcW w:w="2468" w:type="dxa"/>
                </w:tcPr>
                <w:p w:rsidR="006725FB" w:rsidRPr="00F840AB" w:rsidRDefault="005F04BB" w:rsidP="00050B81">
                  <w:pPr>
                    <w:jc w:val="center"/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65</w:t>
                  </w: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3D76B9" w:rsidRDefault="006725FB" w:rsidP="000931C2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Study at home</w:t>
                  </w:r>
                </w:p>
              </w:tc>
              <w:tc>
                <w:tcPr>
                  <w:tcW w:w="2468" w:type="dxa"/>
                </w:tcPr>
                <w:p w:rsidR="006725FB" w:rsidRPr="003B45BC" w:rsidRDefault="005F04BB" w:rsidP="00050B81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color w:val="002060"/>
                      <w:lang w:val="el-GR"/>
                    </w:rPr>
                    <w:t>60</w:t>
                  </w: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6725FB" w:rsidRPr="00050B81" w:rsidTr="00907017">
              <w:tc>
                <w:tcPr>
                  <w:tcW w:w="2467" w:type="dxa"/>
                </w:tcPr>
                <w:p w:rsidR="006725FB" w:rsidRPr="002A2C0D" w:rsidRDefault="006725FB" w:rsidP="000931C2">
                  <w:pPr>
                    <w:rPr>
                      <w:rFonts w:ascii="Calibri" w:hAnsi="Calibri" w:cs="Arial"/>
                      <w:b/>
                      <w:i/>
                      <w:color w:val="002060"/>
                    </w:rPr>
                  </w:pPr>
                  <w:r w:rsidRPr="002A2C0D">
                    <w:rPr>
                      <w:rFonts w:ascii="Calibri" w:hAnsi="Calibri" w:cs="Arial"/>
                      <w:b/>
                      <w:i/>
                      <w:color w:val="002060"/>
                    </w:rPr>
                    <w:t>Course total</w:t>
                  </w:r>
                </w:p>
                <w:p w:rsidR="006725FB" w:rsidRPr="003D76B9" w:rsidRDefault="006725FB" w:rsidP="000931C2">
                  <w:pPr>
                    <w:rPr>
                      <w:rFonts w:ascii="Calibri" w:hAnsi="Calibri" w:cs="Arial"/>
                      <w:b/>
                      <w:i/>
                      <w:color w:val="002060"/>
                    </w:rPr>
                  </w:pPr>
                  <w:r w:rsidRPr="003D76B9">
                    <w:rPr>
                      <w:rFonts w:ascii="Calibri" w:hAnsi="Calibri" w:cs="Arial"/>
                      <w:b/>
                      <w:i/>
                      <w:color w:val="002060"/>
                    </w:rPr>
                    <w:t>(25 hours of student work load per ECTS)</w:t>
                  </w:r>
                </w:p>
              </w:tc>
              <w:tc>
                <w:tcPr>
                  <w:tcW w:w="2468" w:type="dxa"/>
                  <w:vAlign w:val="center"/>
                </w:tcPr>
                <w:p w:rsidR="006725FB" w:rsidRPr="003B45BC" w:rsidRDefault="006725FB" w:rsidP="008343A9">
                  <w:pPr>
                    <w:jc w:val="center"/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  <w:t>125</w:t>
                  </w:r>
                </w:p>
              </w:tc>
            </w:tr>
          </w:tbl>
          <w:p w:rsidR="006725FB" w:rsidRPr="00050B81" w:rsidRDefault="006725FB" w:rsidP="00050B81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20684A" w:rsidRPr="006C74B6" w:rsidTr="00BF6D32">
        <w:tc>
          <w:tcPr>
            <w:tcW w:w="3306" w:type="dxa"/>
          </w:tcPr>
          <w:p w:rsidR="006725FB" w:rsidRPr="006725FB" w:rsidRDefault="006725FB" w:rsidP="006725FB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6725FB">
              <w:rPr>
                <w:rFonts w:ascii="Calibri" w:eastAsia="Times New Roman" w:hAnsi="Calibri" w:cs="Arial"/>
                <w:b/>
                <w:sz w:val="20"/>
                <w:szCs w:val="20"/>
              </w:rPr>
              <w:t>STUDENTS EVALUATION</w:t>
            </w:r>
          </w:p>
          <w:p w:rsidR="0020684A" w:rsidRPr="00050B81" w:rsidRDefault="0020684A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20684A" w:rsidRPr="006725FB" w:rsidRDefault="00BC0029" w:rsidP="00E65448">
            <w:pPr>
              <w:spacing w:after="0" w:line="240" w:lineRule="auto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>Written exams (10</w:t>
            </w:r>
            <w:r w:rsidR="006725FB">
              <w:rPr>
                <w:iCs/>
                <w:color w:val="002060"/>
                <w:lang w:val="en-US"/>
              </w:rPr>
              <w:t>0%) including:</w:t>
            </w:r>
          </w:p>
          <w:p w:rsidR="00BC0029" w:rsidRDefault="00BC0029" w:rsidP="00BC0029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>Multiple choice questions</w:t>
            </w:r>
          </w:p>
          <w:p w:rsidR="0020684A" w:rsidRDefault="00BC0029" w:rsidP="004E56D6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 xml:space="preserve">Solving </w:t>
            </w:r>
            <w:r w:rsidR="004E56D6">
              <w:rPr>
                <w:iCs/>
                <w:color w:val="002060"/>
                <w:lang w:val="en-US"/>
              </w:rPr>
              <w:t>exercises</w:t>
            </w:r>
            <w:r w:rsidR="006725FB" w:rsidRPr="00BC0029">
              <w:rPr>
                <w:iCs/>
                <w:color w:val="002060"/>
                <w:lang w:val="en-US"/>
              </w:rPr>
              <w:t xml:space="preserve"> </w:t>
            </w:r>
          </w:p>
          <w:p w:rsidR="005F04BB" w:rsidRDefault="005F04BB" w:rsidP="005F04BB">
            <w:pPr>
              <w:spacing w:after="0" w:line="240" w:lineRule="auto"/>
              <w:rPr>
                <w:iCs/>
                <w:color w:val="002060"/>
                <w:lang w:val="en-US"/>
              </w:rPr>
            </w:pPr>
          </w:p>
          <w:p w:rsidR="005F04BB" w:rsidRPr="005F04BB" w:rsidRDefault="005F04BB" w:rsidP="005F04BB">
            <w:pPr>
              <w:spacing w:after="0" w:line="240" w:lineRule="auto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>T</w:t>
            </w:r>
            <w:r w:rsidRPr="005F04BB">
              <w:rPr>
                <w:iCs/>
                <w:color w:val="002060"/>
                <w:lang w:val="en-US"/>
              </w:rPr>
              <w:t xml:space="preserve">here is the possibility to </w:t>
            </w:r>
            <w:r>
              <w:rPr>
                <w:iCs/>
                <w:color w:val="002060"/>
                <w:lang w:val="en-US"/>
              </w:rPr>
              <w:t>conduct</w:t>
            </w:r>
            <w:r w:rsidRPr="005F04BB">
              <w:rPr>
                <w:iCs/>
                <w:color w:val="002060"/>
                <w:lang w:val="en-US"/>
              </w:rPr>
              <w:t xml:space="preserve"> the exams, either at the end of the </w:t>
            </w:r>
            <w:r>
              <w:rPr>
                <w:iCs/>
                <w:color w:val="002060"/>
                <w:lang w:val="en-US"/>
              </w:rPr>
              <w:t>S</w:t>
            </w:r>
            <w:r w:rsidRPr="005F04BB">
              <w:rPr>
                <w:iCs/>
                <w:color w:val="002060"/>
                <w:lang w:val="en-US"/>
              </w:rPr>
              <w:t xml:space="preserve">emester (with all the </w:t>
            </w:r>
            <w:r>
              <w:rPr>
                <w:iCs/>
                <w:color w:val="002060"/>
                <w:lang w:val="en-US"/>
              </w:rPr>
              <w:t xml:space="preserve">course </w:t>
            </w:r>
            <w:r w:rsidRPr="005F04BB">
              <w:rPr>
                <w:iCs/>
                <w:color w:val="002060"/>
                <w:lang w:val="en-US"/>
              </w:rPr>
              <w:t xml:space="preserve">material), or with two separate </w:t>
            </w:r>
            <w:r>
              <w:rPr>
                <w:iCs/>
                <w:color w:val="002060"/>
                <w:lang w:val="en-US"/>
              </w:rPr>
              <w:t>exams</w:t>
            </w:r>
            <w:r w:rsidRPr="005F04BB">
              <w:rPr>
                <w:iCs/>
                <w:color w:val="002060"/>
                <w:lang w:val="en-US"/>
              </w:rPr>
              <w:t xml:space="preserve">, in the middle and at the end of the semester, with half the </w:t>
            </w:r>
            <w:r w:rsidR="00FF47B3">
              <w:rPr>
                <w:iCs/>
                <w:color w:val="002060"/>
                <w:lang w:val="en-US"/>
              </w:rPr>
              <w:t xml:space="preserve">course </w:t>
            </w:r>
            <w:r w:rsidRPr="005F04BB">
              <w:rPr>
                <w:iCs/>
                <w:color w:val="002060"/>
                <w:lang w:val="en-US"/>
              </w:rPr>
              <w:t xml:space="preserve">material at a time. </w:t>
            </w:r>
          </w:p>
        </w:tc>
      </w:tr>
    </w:tbl>
    <w:p w:rsidR="00050B81" w:rsidRPr="00050B81" w:rsidRDefault="006725F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 xml:space="preserve">BILBIOGRAPHY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9F2B58" w:rsidTr="00BF6D32">
        <w:tc>
          <w:tcPr>
            <w:tcW w:w="8472" w:type="dxa"/>
          </w:tcPr>
          <w:p w:rsidR="008D4C8C" w:rsidRPr="008D4C8C" w:rsidRDefault="006725FB" w:rsidP="008D4C8C">
            <w:pPr>
              <w:spacing w:after="0"/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Suggested</w:t>
            </w:r>
            <w:r w:rsidR="008D4C8C">
              <w:rPr>
                <w:rFonts w:ascii="Calibri" w:hAnsi="Calibri" w:cs="Arial"/>
                <w:color w:val="002060"/>
                <w:sz w:val="20"/>
                <w:szCs w:val="20"/>
              </w:rPr>
              <w:t>:</w:t>
            </w:r>
          </w:p>
          <w:p w:rsidR="00FF47B3" w:rsidRPr="00FF47B3" w:rsidRDefault="00FF47B3" w:rsidP="00740BE0">
            <w:pPr>
              <w:numPr>
                <w:ilvl w:val="0"/>
                <w:numId w:val="26"/>
              </w:numPr>
              <w:spacing w:after="0" w:line="240" w:lineRule="auto"/>
              <w:jc w:val="both"/>
              <w:outlineLvl w:val="0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  <w:lang w:val="en-US"/>
              </w:rPr>
              <w:t xml:space="preserve">Georgakopoulos, Th., Lianos, Th., Benos, Th., Tsekouras, G., </w:t>
            </w:r>
            <w:r w:rsidRPr="00FF47B3">
              <w:rPr>
                <w:rFonts w:cs="Arial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2060"/>
                <w:sz w:val="20"/>
                <w:szCs w:val="20"/>
                <w:lang w:val="en-US"/>
              </w:rPr>
              <w:t xml:space="preserve">Chatziprokopiou, M., Christou, G. </w:t>
            </w:r>
            <w:r w:rsidRPr="00FF47B3">
              <w:rPr>
                <w:rFonts w:cs="Arial"/>
                <w:color w:val="002060"/>
                <w:sz w:val="20"/>
                <w:szCs w:val="20"/>
              </w:rPr>
              <w:t>(2007): ‘</w:t>
            </w:r>
            <w:r w:rsidRPr="00FF47B3">
              <w:rPr>
                <w:rFonts w:cs="Arial"/>
                <w:color w:val="002060"/>
                <w:sz w:val="20"/>
                <w:szCs w:val="20"/>
                <w:lang w:val="en-US"/>
              </w:rPr>
              <w:t>Introduction to Political Economy</w:t>
            </w:r>
            <w:r w:rsidRPr="00FF47B3">
              <w:rPr>
                <w:rFonts w:cs="Arial"/>
                <w:color w:val="002060"/>
                <w:sz w:val="20"/>
                <w:szCs w:val="20"/>
              </w:rPr>
              <w:t>’, 7</w:t>
            </w:r>
            <w:r w:rsidRPr="00FF47B3">
              <w:rPr>
                <w:rFonts w:cs="Arial"/>
                <w:color w:val="002060"/>
                <w:sz w:val="20"/>
                <w:szCs w:val="20"/>
                <w:vertAlign w:val="superscript"/>
                <w:lang w:val="en-US"/>
              </w:rPr>
              <w:t>th</w:t>
            </w:r>
            <w:r w:rsidRPr="00FF47B3">
              <w:rPr>
                <w:rFonts w:cs="Arial"/>
                <w:color w:val="002060"/>
                <w:sz w:val="20"/>
                <w:szCs w:val="20"/>
                <w:lang w:val="en-US"/>
              </w:rPr>
              <w:t xml:space="preserve"> Edition, Benos Editions, Athens. </w:t>
            </w:r>
          </w:p>
          <w:p w:rsidR="00FF47B3" w:rsidRPr="00FF47B3" w:rsidRDefault="00FF47B3" w:rsidP="00740BE0">
            <w:pPr>
              <w:numPr>
                <w:ilvl w:val="0"/>
                <w:numId w:val="26"/>
              </w:numPr>
              <w:spacing w:after="0" w:line="240" w:lineRule="auto"/>
              <w:jc w:val="both"/>
              <w:outlineLvl w:val="0"/>
              <w:rPr>
                <w:rFonts w:cs="Arial"/>
                <w:color w:val="002060"/>
                <w:sz w:val="20"/>
                <w:szCs w:val="20"/>
              </w:rPr>
            </w:pPr>
            <w:r w:rsidRPr="00FF47B3">
              <w:rPr>
                <w:rFonts w:cs="Arial"/>
                <w:color w:val="002060"/>
                <w:sz w:val="20"/>
                <w:szCs w:val="20"/>
                <w:lang w:val="en-US"/>
              </w:rPr>
              <w:t>Mankiw</w:t>
            </w:r>
            <w:r w:rsidRPr="00FF47B3">
              <w:rPr>
                <w:rFonts w:cs="Arial"/>
                <w:color w:val="002060"/>
                <w:sz w:val="20"/>
                <w:szCs w:val="20"/>
              </w:rPr>
              <w:t xml:space="preserve"> </w:t>
            </w:r>
            <w:r w:rsidRPr="00FF47B3">
              <w:rPr>
                <w:rFonts w:cs="Arial"/>
                <w:color w:val="002060"/>
                <w:sz w:val="20"/>
                <w:szCs w:val="20"/>
                <w:lang w:val="en-US"/>
              </w:rPr>
              <w:t>Gregory</w:t>
            </w:r>
            <w:r w:rsidRPr="00FF47B3">
              <w:rPr>
                <w:rFonts w:cs="Arial"/>
                <w:color w:val="002060"/>
                <w:sz w:val="20"/>
                <w:szCs w:val="20"/>
              </w:rPr>
              <w:t xml:space="preserve"> </w:t>
            </w:r>
            <w:r w:rsidRPr="00FF47B3">
              <w:rPr>
                <w:rFonts w:cs="Arial"/>
                <w:color w:val="002060"/>
                <w:sz w:val="20"/>
                <w:szCs w:val="20"/>
                <w:lang w:val="en-US"/>
              </w:rPr>
              <w:t>N</w:t>
            </w:r>
            <w:r w:rsidRPr="00FF47B3">
              <w:rPr>
                <w:rFonts w:cs="Arial"/>
                <w:color w:val="002060"/>
                <w:sz w:val="20"/>
                <w:szCs w:val="20"/>
              </w:rPr>
              <w:t xml:space="preserve">. </w:t>
            </w:r>
            <w:r w:rsidRPr="00FF47B3">
              <w:rPr>
                <w:rFonts w:cs="Arial"/>
                <w:color w:val="002060"/>
                <w:sz w:val="20"/>
                <w:szCs w:val="20"/>
                <w:lang w:val="en-US"/>
              </w:rPr>
              <w:t>and</w:t>
            </w:r>
            <w:r w:rsidRPr="00FF47B3">
              <w:rPr>
                <w:rFonts w:cs="Arial"/>
                <w:color w:val="002060"/>
                <w:sz w:val="20"/>
                <w:szCs w:val="20"/>
              </w:rPr>
              <w:t xml:space="preserve"> </w:t>
            </w:r>
            <w:r w:rsidRPr="00FF47B3">
              <w:rPr>
                <w:rFonts w:cs="Arial"/>
                <w:color w:val="002060"/>
                <w:sz w:val="20"/>
                <w:szCs w:val="20"/>
                <w:lang w:val="en-US"/>
              </w:rPr>
              <w:t>Taylor</w:t>
            </w:r>
            <w:r w:rsidRPr="00FF47B3">
              <w:rPr>
                <w:rFonts w:cs="Arial"/>
                <w:color w:val="002060"/>
                <w:sz w:val="20"/>
                <w:szCs w:val="20"/>
              </w:rPr>
              <w:t xml:space="preserve"> </w:t>
            </w:r>
            <w:r w:rsidRPr="00FF47B3">
              <w:rPr>
                <w:rFonts w:cs="Arial"/>
                <w:color w:val="002060"/>
                <w:sz w:val="20"/>
                <w:szCs w:val="20"/>
                <w:lang w:val="en-US"/>
              </w:rPr>
              <w:t>Mark</w:t>
            </w:r>
            <w:r w:rsidRPr="00FF47B3">
              <w:rPr>
                <w:rFonts w:cs="Arial"/>
                <w:color w:val="002060"/>
                <w:sz w:val="20"/>
                <w:szCs w:val="20"/>
              </w:rPr>
              <w:t xml:space="preserve"> </w:t>
            </w:r>
            <w:r w:rsidRPr="00FF47B3">
              <w:rPr>
                <w:rFonts w:cs="Arial"/>
                <w:color w:val="002060"/>
                <w:sz w:val="20"/>
                <w:szCs w:val="20"/>
                <w:lang w:val="en-US"/>
              </w:rPr>
              <w:t>P</w:t>
            </w:r>
            <w:r w:rsidRPr="00FF47B3">
              <w:rPr>
                <w:rFonts w:cs="Arial"/>
                <w:color w:val="002060"/>
                <w:sz w:val="20"/>
                <w:szCs w:val="20"/>
              </w:rPr>
              <w:t>. (2018): ‘</w:t>
            </w:r>
            <w:r>
              <w:rPr>
                <w:rFonts w:cs="Arial"/>
                <w:color w:val="002060"/>
                <w:sz w:val="20"/>
                <w:szCs w:val="20"/>
                <w:lang w:val="en-US"/>
              </w:rPr>
              <w:t>Economics</w:t>
            </w:r>
            <w:r w:rsidRPr="00FF47B3">
              <w:rPr>
                <w:rFonts w:cs="Arial"/>
                <w:color w:val="002060"/>
                <w:sz w:val="20"/>
                <w:szCs w:val="20"/>
              </w:rPr>
              <w:t xml:space="preserve"> (</w:t>
            </w:r>
            <w:r>
              <w:rPr>
                <w:rFonts w:cs="Arial"/>
                <w:color w:val="002060"/>
                <w:sz w:val="20"/>
                <w:szCs w:val="20"/>
                <w:lang w:val="en-US"/>
              </w:rPr>
              <w:t>Microeconomics</w:t>
            </w:r>
            <w:r>
              <w:rPr>
                <w:rFonts w:cs="Arial"/>
                <w:color w:val="002060"/>
                <w:sz w:val="20"/>
                <w:szCs w:val="20"/>
              </w:rPr>
              <w:t>)’, 4th</w:t>
            </w:r>
            <w:r>
              <w:rPr>
                <w:rFonts w:cs="Arial"/>
                <w:color w:val="002060"/>
                <w:sz w:val="20"/>
                <w:szCs w:val="20"/>
                <w:lang w:val="en-US"/>
              </w:rPr>
              <w:t xml:space="preserve"> Edition, Tziolas Editions, Thessaloniki. </w:t>
            </w:r>
            <w:r w:rsidRPr="00FF47B3">
              <w:rPr>
                <w:rFonts w:cs="Arial"/>
                <w:color w:val="002060"/>
                <w:sz w:val="20"/>
                <w:szCs w:val="20"/>
              </w:rPr>
              <w:t xml:space="preserve"> </w:t>
            </w:r>
          </w:p>
          <w:p w:rsidR="000A6613" w:rsidRDefault="000A6613" w:rsidP="009F2B5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</w:p>
          <w:p w:rsidR="000A6613" w:rsidRDefault="000A6613" w:rsidP="009F2B5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</w:p>
          <w:p w:rsidR="008D4C8C" w:rsidRPr="009F2B58" w:rsidRDefault="009F2B58" w:rsidP="009F2B5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9F2B58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lastRenderedPageBreak/>
              <w:t xml:space="preserve"> </w:t>
            </w:r>
          </w:p>
          <w:p w:rsidR="00FF47B3" w:rsidRDefault="00FF47B3" w:rsidP="00FF47B3">
            <w:p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Additional (optional) Bibliography: </w:t>
            </w:r>
          </w:p>
          <w:p w:rsidR="00FF47B3" w:rsidRPr="00FF47B3" w:rsidRDefault="00FF47B3" w:rsidP="00FF47B3">
            <w:p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</w:p>
          <w:p w:rsidR="00FF47B3" w:rsidRPr="00FF47B3" w:rsidRDefault="00FF47B3" w:rsidP="00FF47B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FF47B3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Hill R. and T. Myatt (2010): ‘The Economics Anti-Textbook’, Zed Books, London &amp; New York.</w:t>
            </w:r>
          </w:p>
          <w:p w:rsidR="00FF47B3" w:rsidRPr="00FF47B3" w:rsidRDefault="00FF47B3" w:rsidP="00FF47B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FF47B3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Tae-Hee Jo, Lynne Chester, and Carlo D'Ippoliti (Eds) (2017): ‘The Routledge Handbook of Heterodox Economics: Theorizing, Analyzing, and Transforming Capitalism’, Routledge, New York.  </w:t>
            </w:r>
          </w:p>
          <w:p w:rsidR="00FF47B3" w:rsidRPr="00FF47B3" w:rsidRDefault="00FF47B3" w:rsidP="00FF47B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FF47B3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Prasch R. (2008): ‘How Markets Work – Supply, Demand and the «Real World»’, Edward Elgar, Cheltenham, UK &amp; Northampton MA, USA.</w:t>
            </w:r>
          </w:p>
          <w:p w:rsidR="00FF47B3" w:rsidRPr="00FF47B3" w:rsidRDefault="00FF47B3" w:rsidP="00FF47B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FF47B3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Crotty J. (2017): ‘Understanding globalization, financialization, competition and crisis’, Edward Elgar, Cheltenham, UK &amp; Northampton MA, USA.</w:t>
            </w:r>
          </w:p>
          <w:p w:rsidR="00FF47B3" w:rsidRPr="00FF47B3" w:rsidRDefault="00FF47B3" w:rsidP="00FF47B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FF47B3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Birks St. (2016): ‘40 Critical Pointers for Students of Economics’, World Economics Association and College Publications.</w:t>
            </w:r>
          </w:p>
          <w:p w:rsidR="00FF47B3" w:rsidRPr="00FF47B3" w:rsidRDefault="00FF47B3" w:rsidP="00FF47B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FF47B3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van Staveren I. (2015): ‘Economics After the Crisis. An Introduction to Economics from a Pluralist and Global Perspective’, Routledge, New York.</w:t>
            </w:r>
          </w:p>
          <w:p w:rsidR="00FF47B3" w:rsidRPr="00FF47B3" w:rsidRDefault="00FF47B3" w:rsidP="00FF47B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FF47B3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Stilwell Fr. (2011): ‘Political Economy: The Contest of Economic Ideas’, 3rd Edition, Oxford University Press.</w:t>
            </w:r>
          </w:p>
          <w:p w:rsidR="00FF47B3" w:rsidRPr="00FF47B3" w:rsidRDefault="00FF47B3" w:rsidP="00FF47B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FF47B3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Bougrine, H., I. Parker and M. Seccareccia (2010): ‘Introducing Microeconomic Analysis: Issues, Questions, and Competing Views’, Emond Montgomery Publications, Toronto, Canada.</w:t>
            </w:r>
          </w:p>
          <w:p w:rsidR="00FF47B3" w:rsidRPr="00FF47B3" w:rsidRDefault="00FF47B3" w:rsidP="00FF47B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FF47B3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Kapp, K.W. (2011): ‘The Foundations of Institutional Economics’, Routledge, Abingdon UK and NY.</w:t>
            </w:r>
          </w:p>
          <w:p w:rsidR="00FF47B3" w:rsidRPr="00FF47B3" w:rsidRDefault="00FF47B3" w:rsidP="00FF47B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FF47B3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Sherman, H., Hunt Ε.Κ., Nesiba, R., O’Hara, Ph. and B. Wiens-Tuers (2008): ‘Economics: An Introduction to Traditional and Radical Views’, 7th Edition, M.E. Sharpe, New York. </w:t>
            </w:r>
          </w:p>
          <w:p w:rsidR="00FF47B3" w:rsidRPr="00FF47B3" w:rsidRDefault="00FF47B3" w:rsidP="00FF47B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FF47B3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Lavoie M. (2006): ‘Introduction to Post-Keynesian Economics’, Palgrave Macmillan, NY.</w:t>
            </w:r>
          </w:p>
          <w:p w:rsidR="00FF47B3" w:rsidRPr="00FF47B3" w:rsidRDefault="00FF47B3" w:rsidP="00FF47B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FF47B3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Keen St. (2011): ‘Debunking Economics - Revised and Expanded Edition: The Naked Emperor Dethroned?’, Zed Books, London &amp; New York.</w:t>
            </w:r>
          </w:p>
          <w:p w:rsidR="00FF47B3" w:rsidRPr="00FF47B3" w:rsidRDefault="00FF47B3" w:rsidP="00FF47B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FF47B3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Levine D. (1995): ‘Wealth and Freedom. An Introduction to Political Economy’, Cambridge University Press.</w:t>
            </w:r>
          </w:p>
          <w:p w:rsidR="000A6613" w:rsidRPr="00FF47B3" w:rsidRDefault="00FF47B3" w:rsidP="00FF47B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FF47B3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Fullbrook E. (Ed) (2008): ‘Pluralist Economics’, Zed Books, London &amp; New York.</w:t>
            </w:r>
          </w:p>
        </w:tc>
      </w:tr>
    </w:tbl>
    <w:p w:rsidR="00050B81" w:rsidRPr="009F2B58" w:rsidRDefault="00050B81" w:rsidP="00050B8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4"/>
          <w:lang w:val="en-US"/>
        </w:rPr>
      </w:pPr>
    </w:p>
    <w:p w:rsidR="00050B81" w:rsidRPr="009F2B58" w:rsidRDefault="00050B81" w:rsidP="00050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EDB" w:rsidRPr="009F2B58" w:rsidRDefault="00B66EDB">
      <w:pPr>
        <w:rPr>
          <w:lang w:val="en-US"/>
        </w:rPr>
      </w:pPr>
    </w:p>
    <w:sectPr w:rsidR="00B66EDB" w:rsidRPr="009F2B58" w:rsidSect="003548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B21"/>
    <w:multiLevelType w:val="hybridMultilevel"/>
    <w:tmpl w:val="E61A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85C2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1D61"/>
    <w:multiLevelType w:val="hybridMultilevel"/>
    <w:tmpl w:val="91EC8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5CDC"/>
    <w:multiLevelType w:val="hybridMultilevel"/>
    <w:tmpl w:val="690C885E"/>
    <w:lvl w:ilvl="0" w:tplc="BF524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68A"/>
    <w:multiLevelType w:val="hybridMultilevel"/>
    <w:tmpl w:val="9926ED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68BE"/>
    <w:multiLevelType w:val="hybridMultilevel"/>
    <w:tmpl w:val="AD8C70E4"/>
    <w:lvl w:ilvl="0" w:tplc="D4567F0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F2ADB"/>
    <w:multiLevelType w:val="hybridMultilevel"/>
    <w:tmpl w:val="A0D807D0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B7D4D"/>
    <w:multiLevelType w:val="hybridMultilevel"/>
    <w:tmpl w:val="A336F4F8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4E0D"/>
    <w:multiLevelType w:val="hybridMultilevel"/>
    <w:tmpl w:val="959A9B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AC47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97D3A"/>
    <w:multiLevelType w:val="hybridMultilevel"/>
    <w:tmpl w:val="F53459F0"/>
    <w:lvl w:ilvl="0" w:tplc="8E585C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F2F39"/>
    <w:multiLevelType w:val="hybridMultilevel"/>
    <w:tmpl w:val="8DDA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74AE8"/>
    <w:multiLevelType w:val="hybridMultilevel"/>
    <w:tmpl w:val="C15A1EB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C04DA4"/>
    <w:multiLevelType w:val="hybridMultilevel"/>
    <w:tmpl w:val="8CB0E5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F2502"/>
    <w:multiLevelType w:val="hybridMultilevel"/>
    <w:tmpl w:val="F04418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47426A"/>
    <w:multiLevelType w:val="hybridMultilevel"/>
    <w:tmpl w:val="444207BA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95887"/>
    <w:multiLevelType w:val="hybridMultilevel"/>
    <w:tmpl w:val="E11C8EF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5143381"/>
    <w:multiLevelType w:val="hybridMultilevel"/>
    <w:tmpl w:val="2FE00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146C4"/>
    <w:multiLevelType w:val="hybridMultilevel"/>
    <w:tmpl w:val="428E95C4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6399F"/>
    <w:multiLevelType w:val="hybridMultilevel"/>
    <w:tmpl w:val="6B9CC6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BA7D57"/>
    <w:multiLevelType w:val="hybridMultilevel"/>
    <w:tmpl w:val="74043CE0"/>
    <w:lvl w:ilvl="0" w:tplc="2ADEC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FC65CD9"/>
    <w:multiLevelType w:val="hybridMultilevel"/>
    <w:tmpl w:val="CA84CE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F5244A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F76FF"/>
    <w:multiLevelType w:val="hybridMultilevel"/>
    <w:tmpl w:val="DB7014EA"/>
    <w:lvl w:ilvl="0" w:tplc="BF524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0"/>
  </w:num>
  <w:num w:numId="4">
    <w:abstractNumId w:val="21"/>
  </w:num>
  <w:num w:numId="5">
    <w:abstractNumId w:val="21"/>
    <w:lvlOverride w:ilvl="0">
      <w:lvl w:ilvl="0" w:tplc="0409001B">
        <w:start w:val="1"/>
        <w:numFmt w:val="low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BF5244A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5"/>
  </w:num>
  <w:num w:numId="7">
    <w:abstractNumId w:val="10"/>
  </w:num>
  <w:num w:numId="8">
    <w:abstractNumId w:val="0"/>
  </w:num>
  <w:num w:numId="9">
    <w:abstractNumId w:val="7"/>
  </w:num>
  <w:num w:numId="10">
    <w:abstractNumId w:val="6"/>
  </w:num>
  <w:num w:numId="11">
    <w:abstractNumId w:val="14"/>
  </w:num>
  <w:num w:numId="12">
    <w:abstractNumId w:val="2"/>
  </w:num>
  <w:num w:numId="13">
    <w:abstractNumId w:val="17"/>
  </w:num>
  <w:num w:numId="14">
    <w:abstractNumId w:val="22"/>
  </w:num>
  <w:num w:numId="15">
    <w:abstractNumId w:val="16"/>
  </w:num>
  <w:num w:numId="16">
    <w:abstractNumId w:val="15"/>
  </w:num>
  <w:num w:numId="17">
    <w:abstractNumId w:val="19"/>
  </w:num>
  <w:num w:numId="18">
    <w:abstractNumId w:val="1"/>
  </w:num>
  <w:num w:numId="19">
    <w:abstractNumId w:val="22"/>
  </w:num>
  <w:num w:numId="20">
    <w:abstractNumId w:val="11"/>
  </w:num>
  <w:num w:numId="21">
    <w:abstractNumId w:val="3"/>
  </w:num>
  <w:num w:numId="22">
    <w:abstractNumId w:val="13"/>
  </w:num>
  <w:num w:numId="23">
    <w:abstractNumId w:val="12"/>
  </w:num>
  <w:num w:numId="24">
    <w:abstractNumId w:val="8"/>
  </w:num>
  <w:num w:numId="25">
    <w:abstractNumId w:val="18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50B81"/>
    <w:rsid w:val="000A6613"/>
    <w:rsid w:val="000C4C3C"/>
    <w:rsid w:val="000D793E"/>
    <w:rsid w:val="000F1E0B"/>
    <w:rsid w:val="001A2E2E"/>
    <w:rsid w:val="001A3F9B"/>
    <w:rsid w:val="001C6016"/>
    <w:rsid w:val="001D341B"/>
    <w:rsid w:val="001D7055"/>
    <w:rsid w:val="0020684A"/>
    <w:rsid w:val="002246F5"/>
    <w:rsid w:val="002743E3"/>
    <w:rsid w:val="00275CDB"/>
    <w:rsid w:val="002A2C0D"/>
    <w:rsid w:val="003548B3"/>
    <w:rsid w:val="003966D9"/>
    <w:rsid w:val="003B45BC"/>
    <w:rsid w:val="004750C2"/>
    <w:rsid w:val="004D4631"/>
    <w:rsid w:val="004E03E3"/>
    <w:rsid w:val="004E56D6"/>
    <w:rsid w:val="00512283"/>
    <w:rsid w:val="00570308"/>
    <w:rsid w:val="005B41BC"/>
    <w:rsid w:val="005E094A"/>
    <w:rsid w:val="005F04BB"/>
    <w:rsid w:val="006151C0"/>
    <w:rsid w:val="006725FB"/>
    <w:rsid w:val="006C1EDF"/>
    <w:rsid w:val="006C4731"/>
    <w:rsid w:val="006C74B6"/>
    <w:rsid w:val="006C77DD"/>
    <w:rsid w:val="007144D5"/>
    <w:rsid w:val="00726337"/>
    <w:rsid w:val="008149C3"/>
    <w:rsid w:val="008343A9"/>
    <w:rsid w:val="008D17B8"/>
    <w:rsid w:val="008D1BD9"/>
    <w:rsid w:val="008D4C8C"/>
    <w:rsid w:val="008F1720"/>
    <w:rsid w:val="00906BD3"/>
    <w:rsid w:val="00907017"/>
    <w:rsid w:val="00931216"/>
    <w:rsid w:val="00974C95"/>
    <w:rsid w:val="009F2B58"/>
    <w:rsid w:val="00A33000"/>
    <w:rsid w:val="00A45BD0"/>
    <w:rsid w:val="00A82CE2"/>
    <w:rsid w:val="00AA2391"/>
    <w:rsid w:val="00AD5817"/>
    <w:rsid w:val="00AE206F"/>
    <w:rsid w:val="00B25922"/>
    <w:rsid w:val="00B425BF"/>
    <w:rsid w:val="00B66EDB"/>
    <w:rsid w:val="00BB5C14"/>
    <w:rsid w:val="00BC0029"/>
    <w:rsid w:val="00CD320A"/>
    <w:rsid w:val="00D924F0"/>
    <w:rsid w:val="00D94F8C"/>
    <w:rsid w:val="00DC6A5A"/>
    <w:rsid w:val="00E53803"/>
    <w:rsid w:val="00EA1E0D"/>
    <w:rsid w:val="00EB1E49"/>
    <w:rsid w:val="00F840AB"/>
    <w:rsid w:val="00F91CA6"/>
    <w:rsid w:val="00FA4027"/>
    <w:rsid w:val="00FE7016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3D990-83B9-427B-9167-917E176D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391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8D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2026-02-24T13:50:00Z</dcterms:created>
  <dcterms:modified xsi:type="dcterms:W3CDTF">2026-02-24T13:50:00Z</dcterms:modified>
</cp:coreProperties>
</file>